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w:t>
            </w:r>
          </w:p>
        </w:tc>
      </w:tr>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3"/>
          </w:tcPr>
          <w:p w:rsidR="0094424E" w:rsidRPr="008A59EE" w:rsidRDefault="000529D2" w:rsidP="00EC1E5C">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sidR="00EC1E5C">
              <w:rPr>
                <w:rFonts w:ascii="Arial" w:hAnsi="Arial"/>
                <w:b/>
                <w:bCs/>
                <w:sz w:val="26"/>
                <w:szCs w:val="26"/>
                <w:rtl/>
              </w:rPr>
              <w:t>שופט</w:t>
            </w:r>
            <w:r w:rsidR="00EC1E5C">
              <w:rPr>
                <w:rFonts w:ascii="Arial" w:hAnsi="Arial" w:hint="cs"/>
                <w:b/>
                <w:bCs/>
                <w:sz w:val="26"/>
                <w:szCs w:val="26"/>
                <w:rtl/>
              </w:rPr>
              <w:t xml:space="preserve"> אביגדור דורות</w:t>
            </w:r>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p w:rsidR="004A4DE9" w:rsidRDefault="00EC1E5C" w:rsidP="00EC1E5C">
            <w:pPr>
              <w:suppressLineNumbers/>
              <w:rPr>
                <w:rFonts w:ascii="Arial" w:hAnsi="Arial"/>
                <w:b/>
                <w:bCs/>
                <w:noProof w:val="0"/>
                <w:sz w:val="26"/>
                <w:szCs w:val="26"/>
                <w:rtl/>
              </w:rPr>
            </w:pPr>
            <w:r>
              <w:rPr>
                <w:rFonts w:ascii="Arial" w:hAnsi="Arial" w:hint="cs"/>
                <w:b/>
                <w:bCs/>
                <w:noProof w:val="0"/>
                <w:sz w:val="26"/>
                <w:szCs w:val="26"/>
                <w:rtl/>
              </w:rPr>
              <w:t>ה</w:t>
            </w:r>
            <w:r w:rsidR="003911C4">
              <w:rPr>
                <w:rFonts w:ascii="Arial" w:hAnsi="Arial"/>
                <w:b/>
                <w:bCs/>
                <w:noProof w:val="0"/>
                <w:sz w:val="26"/>
                <w:szCs w:val="26"/>
                <w:rtl/>
              </w:rPr>
              <w:t>מבקש</w:t>
            </w:r>
            <w:r>
              <w:rPr>
                <w:rFonts w:ascii="Arial" w:hAnsi="Arial" w:hint="cs"/>
                <w:b/>
                <w:bCs/>
                <w:noProof w:val="0"/>
                <w:sz w:val="26"/>
                <w:szCs w:val="26"/>
                <w:rtl/>
              </w:rPr>
              <w:t>ת:</w:t>
            </w:r>
          </w:p>
        </w:tc>
        <w:tc>
          <w:tcPr>
            <w:tcW w:w="5571" w:type="dxa"/>
            <w:gridSpan w:val="2"/>
          </w:tcPr>
          <w:p w:rsidR="00FA7FD0" w:rsidRDefault="00FA7FD0" w:rsidP="00D44968">
            <w:pPr>
              <w:suppressLineNumbers/>
              <w:rPr>
                <w:rtl/>
              </w:rPr>
            </w:pPr>
          </w:p>
          <w:p w:rsidR="0094424E" w:rsidRDefault="00E765F7" w:rsidP="00FE09EC">
            <w:pPr>
              <w:suppressLineNumbers/>
              <w:rPr>
                <w:rFonts w:ascii="Arial" w:hAnsi="Arial"/>
                <w:b/>
                <w:bCs/>
                <w:noProof w:val="0"/>
                <w:sz w:val="26"/>
                <w:szCs w:val="26"/>
                <w:rtl/>
              </w:rPr>
            </w:pPr>
            <w:r>
              <w:rPr>
                <w:rFonts w:ascii="Arial" w:hAnsi="Arial"/>
                <w:b/>
                <w:bCs/>
                <w:noProof w:val="0"/>
                <w:sz w:val="26"/>
                <w:szCs w:val="26"/>
                <w:rtl/>
              </w:rPr>
              <w:t>סטי אנרגיה בע"מ</w:t>
            </w:r>
          </w:p>
          <w:p w:rsidR="00EC1E5C" w:rsidRPr="00EC1E5C" w:rsidRDefault="00EC1E5C" w:rsidP="00FE09EC">
            <w:pPr>
              <w:suppressLineNumbers/>
              <w:rPr>
                <w:noProof w:val="0"/>
                <w:sz w:val="26"/>
                <w:szCs w:val="26"/>
              </w:rPr>
            </w:pPr>
            <w:r w:rsidRPr="00EC1E5C">
              <w:rPr>
                <w:rFonts w:hint="cs"/>
                <w:noProof w:val="0"/>
                <w:sz w:val="26"/>
                <w:szCs w:val="26"/>
                <w:rtl/>
              </w:rPr>
              <w:t>ע"י ב"כ עו"ד תמיר סולומון ועו"ד אבי גורן</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C1E5C" w:rsidP="00EC1E5C">
            <w:pPr>
              <w:suppressLineNumbers/>
              <w:rPr>
                <w:rFonts w:ascii="Arial" w:hAnsi="Arial"/>
                <w:b/>
                <w:bCs/>
                <w:noProof w:val="0"/>
                <w:sz w:val="26"/>
                <w:szCs w:val="26"/>
              </w:rPr>
            </w:pPr>
            <w:r>
              <w:rPr>
                <w:rFonts w:ascii="Arial" w:hAnsi="Arial" w:hint="cs"/>
                <w:b/>
                <w:bCs/>
                <w:noProof w:val="0"/>
                <w:sz w:val="26"/>
                <w:szCs w:val="26"/>
                <w:rtl/>
              </w:rPr>
              <w:t>ה</w:t>
            </w:r>
            <w:r w:rsidR="00E765F7">
              <w:rPr>
                <w:rFonts w:ascii="Arial" w:hAnsi="Arial"/>
                <w:b/>
                <w:bCs/>
                <w:noProof w:val="0"/>
                <w:sz w:val="26"/>
                <w:szCs w:val="26"/>
                <w:rtl/>
              </w:rPr>
              <w:t>משיב</w:t>
            </w:r>
            <w:r>
              <w:rPr>
                <w:rFonts w:ascii="Arial" w:hAnsi="Arial" w:hint="cs"/>
                <w:b/>
                <w:bCs/>
                <w:noProof w:val="0"/>
                <w:sz w:val="26"/>
                <w:szCs w:val="26"/>
                <w:rtl/>
              </w:rPr>
              <w:t>:</w:t>
            </w:r>
          </w:p>
        </w:tc>
        <w:tc>
          <w:tcPr>
            <w:tcW w:w="5571" w:type="dxa"/>
            <w:gridSpan w:val="2"/>
          </w:tcPr>
          <w:p w:rsidR="00CF6BB7" w:rsidRDefault="00EC1E5C" w:rsidP="00FE09EC">
            <w:pPr>
              <w:suppressLineNumbers/>
              <w:rPr>
                <w:rFonts w:ascii="Arial" w:hAnsi="Arial"/>
                <w:b/>
                <w:bCs/>
                <w:noProof w:val="0"/>
                <w:sz w:val="26"/>
                <w:szCs w:val="26"/>
                <w:rtl/>
              </w:rPr>
            </w:pPr>
            <w:r>
              <w:rPr>
                <w:rFonts w:ascii="Arial" w:hAnsi="Arial" w:hint="cs"/>
                <w:b/>
                <w:bCs/>
                <w:noProof w:val="0"/>
                <w:sz w:val="26"/>
                <w:szCs w:val="26"/>
                <w:rtl/>
              </w:rPr>
              <w:t xml:space="preserve">פקיד שומה ירושלים 1 </w:t>
            </w:r>
          </w:p>
          <w:p w:rsidR="00EC1E5C" w:rsidRDefault="00EC1E5C" w:rsidP="00FE09EC">
            <w:pPr>
              <w:suppressLineNumbers/>
              <w:rPr>
                <w:rFonts w:ascii="Arial" w:hAnsi="Arial"/>
                <w:noProof w:val="0"/>
                <w:sz w:val="26"/>
                <w:szCs w:val="26"/>
                <w:rtl/>
              </w:rPr>
            </w:pPr>
            <w:r>
              <w:rPr>
                <w:rFonts w:ascii="Arial" w:hAnsi="Arial" w:hint="cs"/>
                <w:noProof w:val="0"/>
                <w:sz w:val="26"/>
                <w:szCs w:val="26"/>
                <w:rtl/>
              </w:rPr>
              <w:t xml:space="preserve">ע"י ב"כ עו"ד עמיחי </w:t>
            </w:r>
            <w:proofErr w:type="spellStart"/>
            <w:r>
              <w:rPr>
                <w:rFonts w:ascii="Arial" w:hAnsi="Arial" w:hint="cs"/>
                <w:noProof w:val="0"/>
                <w:sz w:val="26"/>
                <w:szCs w:val="26"/>
                <w:rtl/>
              </w:rPr>
              <w:t>גימאני</w:t>
            </w:r>
            <w:proofErr w:type="spellEnd"/>
          </w:p>
          <w:p w:rsidR="00EC1E5C" w:rsidRDefault="00EC1E5C" w:rsidP="00FE09EC">
            <w:pPr>
              <w:suppressLineNumbers/>
              <w:rPr>
                <w:rFonts w:ascii="Arial" w:hAnsi="Arial"/>
                <w:noProof w:val="0"/>
                <w:sz w:val="26"/>
                <w:szCs w:val="26"/>
                <w:rtl/>
              </w:rPr>
            </w:pPr>
            <w:r>
              <w:rPr>
                <w:rFonts w:ascii="Arial" w:hAnsi="Arial" w:hint="cs"/>
                <w:noProof w:val="0"/>
                <w:sz w:val="26"/>
                <w:szCs w:val="26"/>
                <w:rtl/>
              </w:rPr>
              <w:t>מפרקליטות מחוז ירושלים (אזרחי)</w:t>
            </w:r>
          </w:p>
          <w:p w:rsidR="00EC1E5C" w:rsidRDefault="00EC1E5C" w:rsidP="00FE09EC">
            <w:pPr>
              <w:suppressLineNumbers/>
              <w:rPr>
                <w:rFonts w:ascii="Arial" w:hAnsi="Arial"/>
                <w:noProof w:val="0"/>
                <w:sz w:val="26"/>
                <w:szCs w:val="26"/>
                <w:rtl/>
              </w:rPr>
            </w:pPr>
          </w:p>
          <w:p w:rsidR="00EC1E5C" w:rsidRPr="00EC1E5C" w:rsidRDefault="00EC1E5C" w:rsidP="00FE09EC">
            <w:pPr>
              <w:suppressLineNumbers/>
              <w:rPr>
                <w:rFonts w:ascii="Arial" w:hAnsi="Arial"/>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C1E5C" w:rsidRDefault="00EC1E5C" w:rsidP="00B81920">
      <w:pPr>
        <w:pStyle w:val="ad"/>
        <w:numPr>
          <w:ilvl w:val="0"/>
          <w:numId w:val="1"/>
        </w:numPr>
        <w:spacing w:line="360" w:lineRule="auto"/>
        <w:jc w:val="both"/>
        <w:rPr>
          <w:rFonts w:ascii="Arial" w:hAnsi="Arial"/>
          <w:noProof w:val="0"/>
          <w:rtl/>
        </w:rPr>
      </w:pPr>
      <w:bookmarkStart w:id="0" w:name="NGCSBookmark"/>
      <w:bookmarkEnd w:id="0"/>
      <w:r>
        <w:rPr>
          <w:rFonts w:ascii="Arial" w:hAnsi="Arial"/>
          <w:noProof w:val="0"/>
          <w:rtl/>
        </w:rPr>
        <w:t xml:space="preserve">המבקשת עתרה לקבלת סעד זמני, במסגרתו התבקש בית המשפט </w:t>
      </w:r>
      <w:proofErr w:type="spellStart"/>
      <w:r>
        <w:rPr>
          <w:rFonts w:ascii="Arial" w:hAnsi="Arial"/>
          <w:noProof w:val="0"/>
          <w:rtl/>
        </w:rPr>
        <w:t>ליתן</w:t>
      </w:r>
      <w:proofErr w:type="spellEnd"/>
      <w:r>
        <w:rPr>
          <w:rFonts w:ascii="Arial" w:hAnsi="Arial"/>
          <w:noProof w:val="0"/>
          <w:rtl/>
        </w:rPr>
        <w:t xml:space="preserve"> צו המורה למשיב להעניק למבקשת</w:t>
      </w:r>
      <w:r>
        <w:rPr>
          <w:rFonts w:ascii="Arial" w:hAnsi="Arial" w:hint="cs"/>
          <w:noProof w:val="0"/>
          <w:rtl/>
        </w:rPr>
        <w:t xml:space="preserve"> </w:t>
      </w:r>
      <w:r>
        <w:rPr>
          <w:rFonts w:ascii="Arial" w:hAnsi="Arial"/>
          <w:noProof w:val="0"/>
          <w:rtl/>
        </w:rPr>
        <w:t xml:space="preserve">אישור על ניכוי מס במקור בשיעור </w:t>
      </w:r>
      <w:r>
        <w:rPr>
          <w:rFonts w:ascii="Arial" w:hAnsi="Arial" w:hint="cs"/>
          <w:noProof w:val="0"/>
          <w:rtl/>
        </w:rPr>
        <w:t>של 1%</w:t>
      </w:r>
      <w:r>
        <w:rPr>
          <w:rFonts w:ascii="Arial" w:hAnsi="Arial"/>
          <w:noProof w:val="0"/>
          <w:rtl/>
        </w:rPr>
        <w:t>, וזאת עד להכרעה ב</w:t>
      </w:r>
      <w:r w:rsidR="00347810">
        <w:rPr>
          <w:rFonts w:ascii="Arial" w:hAnsi="Arial" w:hint="cs"/>
          <w:noProof w:val="0"/>
          <w:rtl/>
        </w:rPr>
        <w:t>תיק העיקרי</w:t>
      </w:r>
      <w:r>
        <w:rPr>
          <w:rFonts w:ascii="Arial" w:hAnsi="Arial"/>
          <w:noProof w:val="0"/>
          <w:rtl/>
        </w:rPr>
        <w:t>.</w:t>
      </w:r>
    </w:p>
    <w:p w:rsidR="00EC1E5C" w:rsidRDefault="00EC1E5C" w:rsidP="00EC1E5C">
      <w:pPr>
        <w:pStyle w:val="ad"/>
        <w:spacing w:line="360" w:lineRule="auto"/>
        <w:jc w:val="both"/>
        <w:rPr>
          <w:rFonts w:ascii="Arial" w:hAnsi="Arial"/>
          <w:noProof w:val="0"/>
        </w:rPr>
      </w:pPr>
    </w:p>
    <w:p w:rsidR="00EC1E5C" w:rsidRDefault="00EC1E5C" w:rsidP="000F7BE6">
      <w:pPr>
        <w:pStyle w:val="ad"/>
        <w:numPr>
          <w:ilvl w:val="0"/>
          <w:numId w:val="1"/>
        </w:numPr>
        <w:spacing w:line="360" w:lineRule="auto"/>
        <w:jc w:val="both"/>
        <w:rPr>
          <w:rFonts w:ascii="Arial" w:hAnsi="Arial"/>
          <w:noProof w:val="0"/>
          <w:rtl/>
        </w:rPr>
      </w:pPr>
      <w:r>
        <w:rPr>
          <w:rFonts w:ascii="Arial" w:hAnsi="Arial"/>
          <w:noProof w:val="0"/>
          <w:rtl/>
        </w:rPr>
        <w:t>המשיב ב</w:t>
      </w:r>
      <w:r w:rsidR="000F7BE6">
        <w:rPr>
          <w:rFonts w:ascii="Arial" w:hAnsi="Arial" w:hint="cs"/>
          <w:noProof w:val="0"/>
          <w:rtl/>
        </w:rPr>
        <w:t>י</w:t>
      </w:r>
      <w:r>
        <w:rPr>
          <w:rFonts w:ascii="Arial" w:hAnsi="Arial"/>
          <w:noProof w:val="0"/>
          <w:rtl/>
        </w:rPr>
        <w:t xml:space="preserve">קש לדחות את הבקשה והעלה מספר טענות, כדלקמן: ראשית, נטען כי המבקשת עותרת לצו עשה בכסות של צו ביניים, אשר מטרתו שינוי המצב הקיים, שבו מחויבת המבקשת בניכוי מס במקור בשיעור של </w:t>
      </w:r>
      <w:r w:rsidR="00347810">
        <w:rPr>
          <w:rFonts w:ascii="Arial" w:hAnsi="Arial" w:hint="cs"/>
          <w:noProof w:val="0"/>
          <w:rtl/>
        </w:rPr>
        <w:t>5%</w:t>
      </w:r>
      <w:r>
        <w:rPr>
          <w:rFonts w:ascii="Arial" w:hAnsi="Arial"/>
          <w:noProof w:val="0"/>
          <w:rtl/>
        </w:rPr>
        <w:t xml:space="preserve"> </w:t>
      </w:r>
      <w:r w:rsidR="00347810">
        <w:rPr>
          <w:rFonts w:ascii="Arial" w:hAnsi="Arial" w:hint="cs"/>
          <w:noProof w:val="0"/>
          <w:rtl/>
        </w:rPr>
        <w:t xml:space="preserve">. </w:t>
      </w:r>
      <w:r>
        <w:rPr>
          <w:rFonts w:ascii="Arial" w:hAnsi="Arial"/>
          <w:noProof w:val="0"/>
          <w:rtl/>
        </w:rPr>
        <w:t>שנית, נטען כי בכסות של סעד זמני, עותרת המבקשת לקבלת הסעד העיקרי בהליך, קרי, ביטול החלטת המשיב, אשר סירב להיעתר לבקשת המבקשת למתן אישור מופחת לניכוי מס במקור. שלישית, נטען כי פקיד השומה הפעיל את סמכותו ואת שיקול דעתו ואין מקום להתערב בהחלטתו בנסיבות העניין. רביעית, נטען כי המבקשת לא הציגה את הנזק שעלול להיגרם לה, ככול שלא יינתן הסעד הזמני, ולכן מאזן הנוחות נוטה לטובת המשיב, אשר יוותר ללא אפשרויות גביה של המס שיגיע מן המבקשת.</w:t>
      </w:r>
    </w:p>
    <w:p w:rsidR="00EC1E5C" w:rsidRDefault="00EC1E5C" w:rsidP="00EC1E5C">
      <w:pPr>
        <w:pStyle w:val="ad"/>
        <w:rPr>
          <w:rFonts w:ascii="Arial" w:hAnsi="Arial"/>
          <w:noProof w:val="0"/>
        </w:rPr>
      </w:pPr>
    </w:p>
    <w:p w:rsidR="00EC1E5C" w:rsidRDefault="00EC1E5C" w:rsidP="00EC1E5C">
      <w:pPr>
        <w:pStyle w:val="ad"/>
        <w:numPr>
          <w:ilvl w:val="0"/>
          <w:numId w:val="1"/>
        </w:numPr>
        <w:spacing w:line="360" w:lineRule="auto"/>
        <w:jc w:val="both"/>
        <w:rPr>
          <w:rFonts w:ascii="Arial" w:hAnsi="Arial"/>
          <w:noProof w:val="0"/>
        </w:rPr>
      </w:pPr>
      <w:r>
        <w:rPr>
          <w:rFonts w:ascii="Arial" w:hAnsi="Arial"/>
          <w:noProof w:val="0"/>
          <w:rtl/>
        </w:rPr>
        <w:t>להלן יפורטו הוראות החקיקה הרלבנטית.</w:t>
      </w:r>
    </w:p>
    <w:p w:rsidR="000F7BE6" w:rsidRPr="000F7BE6" w:rsidRDefault="000F7BE6" w:rsidP="000F7BE6">
      <w:pPr>
        <w:pStyle w:val="ad"/>
        <w:rPr>
          <w:rFonts w:ascii="Arial" w:hAnsi="Arial"/>
          <w:noProof w:val="0"/>
          <w:rtl/>
        </w:rPr>
      </w:pPr>
    </w:p>
    <w:p w:rsidR="00EC1E5C" w:rsidRDefault="00EC1E5C" w:rsidP="00EC1E5C">
      <w:pPr>
        <w:spacing w:line="360" w:lineRule="auto"/>
        <w:ind w:left="720"/>
        <w:jc w:val="both"/>
        <w:rPr>
          <w:rFonts w:ascii="Arial" w:hAnsi="Arial"/>
          <w:b/>
          <w:bCs/>
          <w:noProof w:val="0"/>
        </w:rPr>
      </w:pPr>
      <w:r>
        <w:rPr>
          <w:rFonts w:ascii="Arial" w:hAnsi="Arial"/>
          <w:noProof w:val="0"/>
          <w:rtl/>
        </w:rPr>
        <w:t xml:space="preserve">סעיפים 164 ו-165 </w:t>
      </w:r>
      <w:r>
        <w:rPr>
          <w:rFonts w:ascii="Arial" w:hAnsi="Arial"/>
          <w:b/>
          <w:bCs/>
          <w:noProof w:val="0"/>
          <w:rtl/>
        </w:rPr>
        <w:t>לפקודת מס הכנסה [נוסח חדש]</w:t>
      </w:r>
      <w:r>
        <w:rPr>
          <w:rFonts w:ascii="Arial" w:hAnsi="Arial"/>
          <w:noProof w:val="0"/>
          <w:rtl/>
        </w:rPr>
        <w:t>, התשכ"א-1961 (להלן: "</w:t>
      </w:r>
      <w:r>
        <w:rPr>
          <w:rFonts w:ascii="Arial" w:hAnsi="Arial"/>
          <w:b/>
          <w:bCs/>
          <w:noProof w:val="0"/>
          <w:rtl/>
        </w:rPr>
        <w:t xml:space="preserve">הפקודה"), </w:t>
      </w:r>
      <w:r>
        <w:rPr>
          <w:rFonts w:ascii="Arial" w:hAnsi="Arial"/>
          <w:noProof w:val="0"/>
          <w:rtl/>
        </w:rPr>
        <w:t>קובעים את</w:t>
      </w:r>
      <w:r>
        <w:rPr>
          <w:rFonts w:ascii="Arial" w:hAnsi="Arial"/>
          <w:b/>
          <w:bCs/>
          <w:noProof w:val="0"/>
          <w:rtl/>
        </w:rPr>
        <w:t xml:space="preserve"> </w:t>
      </w:r>
      <w:r>
        <w:rPr>
          <w:rFonts w:ascii="Arial" w:hAnsi="Arial"/>
          <w:b/>
          <w:bCs/>
          <w:noProof w:val="0"/>
          <w:u w:val="single"/>
          <w:rtl/>
        </w:rPr>
        <w:t>חובת</w:t>
      </w:r>
      <w:r>
        <w:rPr>
          <w:rFonts w:ascii="Arial" w:hAnsi="Arial"/>
          <w:noProof w:val="0"/>
          <w:u w:val="single"/>
          <w:rtl/>
        </w:rPr>
        <w:t xml:space="preserve"> </w:t>
      </w:r>
      <w:r>
        <w:rPr>
          <w:rFonts w:ascii="Arial" w:hAnsi="Arial"/>
          <w:b/>
          <w:bCs/>
          <w:noProof w:val="0"/>
          <w:u w:val="single"/>
          <w:rtl/>
        </w:rPr>
        <w:t>ניכוי במקור</w:t>
      </w:r>
      <w:r>
        <w:rPr>
          <w:rFonts w:ascii="Arial" w:hAnsi="Arial"/>
          <w:b/>
          <w:bCs/>
          <w:noProof w:val="0"/>
          <w:rtl/>
        </w:rPr>
        <w:t xml:space="preserve">, וזוהי לשון הסעיפים: </w:t>
      </w:r>
    </w:p>
    <w:p w:rsidR="00EC1E5C" w:rsidRDefault="00EC1E5C" w:rsidP="00EC1E5C">
      <w:pPr>
        <w:spacing w:line="360" w:lineRule="auto"/>
        <w:ind w:left="1440"/>
        <w:jc w:val="both"/>
        <w:rPr>
          <w:rFonts w:ascii="Arial" w:hAnsi="Arial"/>
          <w:b/>
          <w:bCs/>
          <w:noProof w:val="0"/>
          <w:rtl/>
        </w:rPr>
      </w:pPr>
      <w:r>
        <w:rPr>
          <w:rFonts w:ascii="Arial" w:hAnsi="Arial"/>
          <w:b/>
          <w:bCs/>
          <w:noProof w:val="0"/>
          <w:rtl/>
        </w:rPr>
        <w:t>"חובת ניכוי במקור</w:t>
      </w:r>
    </w:p>
    <w:p w:rsidR="00EC1E5C" w:rsidRDefault="00EC1E5C" w:rsidP="00EC1E5C">
      <w:pPr>
        <w:spacing w:line="360" w:lineRule="auto"/>
        <w:ind w:left="1440"/>
        <w:jc w:val="both"/>
        <w:rPr>
          <w:rFonts w:ascii="Arial" w:hAnsi="Arial"/>
          <w:b/>
          <w:bCs/>
          <w:noProof w:val="0"/>
          <w:rtl/>
        </w:rPr>
      </w:pPr>
      <w:r>
        <w:rPr>
          <w:rFonts w:ascii="Arial" w:hAnsi="Arial"/>
          <w:b/>
          <w:bCs/>
          <w:noProof w:val="0"/>
          <w:rtl/>
        </w:rPr>
        <w:t xml:space="preserve"> 164. כל המשלם או האחראי לתשלומה של הכנסת עבודה לרבות חלק ממענק שנתקבל עקב פרישה או מוות, שאינו פטור על פי סעיף 9(7א), של השתכרות או רווח שמקורם בהימורים, בהגרלות או בפעילות נושאת פרסים, כאמור בסעיף 2א, של סכום המתקבל עקב היוון </w:t>
      </w:r>
      <w:proofErr w:type="spellStart"/>
      <w:r>
        <w:rPr>
          <w:rFonts w:ascii="Arial" w:hAnsi="Arial"/>
          <w:b/>
          <w:bCs/>
          <w:noProof w:val="0"/>
          <w:rtl/>
        </w:rPr>
        <w:t>קיצבה</w:t>
      </w:r>
      <w:proofErr w:type="spellEnd"/>
      <w:r>
        <w:rPr>
          <w:rFonts w:ascii="Arial" w:hAnsi="Arial"/>
          <w:b/>
          <w:bCs/>
          <w:noProof w:val="0"/>
          <w:rtl/>
        </w:rPr>
        <w:t xml:space="preserve"> שאינו פטור על פי סעיפים 9א או 9ב, או של סכומים ותשלומים שחל עליהם סעיף 18(ב) ומהווים הכנסה בידי מקבלם או של הכנסה לפי סעיף 2(5), או של סכומים ותשלומים שחל עליהם סעיף 3(ה7), או של הכנסה חייבת שהעבירה קרן להשקעות במקרקעין כהגדרתה בסעיף 64א2 לבעלי מניותיה, או של תמורה כמשמעותה בסעיף 88, או של ריבית או דיבידנד או של כל הכנסה אחרת ששר האוצר, באישור ועדת הכספים של הכנסת, קבע לכך בצו, </w:t>
      </w:r>
      <w:r>
        <w:rPr>
          <w:rFonts w:ascii="Arial" w:hAnsi="Arial"/>
          <w:b/>
          <w:bCs/>
          <w:noProof w:val="0"/>
          <w:u w:val="single"/>
          <w:rtl/>
        </w:rPr>
        <w:t>ינכה בשעת התשלום מן הסכום המשתלם מס באופן ובשיעורים שנקבעו</w:t>
      </w:r>
      <w:r>
        <w:rPr>
          <w:rFonts w:ascii="Arial" w:hAnsi="Arial"/>
          <w:b/>
          <w:bCs/>
          <w:noProof w:val="0"/>
          <w:rtl/>
        </w:rPr>
        <w:t>; ואולם רשאי שר האוצר לקבוע לעניין השתכרות או רווח כאמור בסעיף 2א כי ניכוי המס יהיה כפי שיקבע, אף שלא בשעת התשלום ושלא מן הסכום המשתלם; הוראת זו חלה גם על המדינה.</w:t>
      </w:r>
    </w:p>
    <w:p w:rsidR="00EC1E5C" w:rsidRDefault="00EC1E5C" w:rsidP="00EC1E5C">
      <w:pPr>
        <w:spacing w:line="360" w:lineRule="auto"/>
        <w:ind w:left="1440"/>
        <w:jc w:val="both"/>
        <w:rPr>
          <w:rFonts w:ascii="Arial" w:hAnsi="Arial"/>
          <w:b/>
          <w:bCs/>
          <w:noProof w:val="0"/>
          <w:rtl/>
        </w:rPr>
      </w:pPr>
    </w:p>
    <w:p w:rsidR="00EC1E5C" w:rsidRDefault="00EC1E5C" w:rsidP="00EC1E5C">
      <w:pPr>
        <w:spacing w:line="360" w:lineRule="auto"/>
        <w:ind w:left="1440"/>
        <w:jc w:val="both"/>
        <w:rPr>
          <w:rFonts w:ascii="Arial" w:hAnsi="Arial"/>
          <w:b/>
          <w:bCs/>
          <w:noProof w:val="0"/>
          <w:rtl/>
        </w:rPr>
      </w:pPr>
      <w:r>
        <w:rPr>
          <w:rFonts w:ascii="Arial" w:hAnsi="Arial"/>
          <w:b/>
          <w:bCs/>
          <w:noProof w:val="0"/>
          <w:rtl/>
        </w:rPr>
        <w:t>קיזוז הניכוי</w:t>
      </w:r>
    </w:p>
    <w:p w:rsidR="00EC1E5C" w:rsidRDefault="00EC1E5C" w:rsidP="00EC1E5C">
      <w:pPr>
        <w:spacing w:line="360" w:lineRule="auto"/>
        <w:ind w:left="1440"/>
        <w:jc w:val="both"/>
        <w:rPr>
          <w:rFonts w:ascii="Arial" w:hAnsi="Arial"/>
          <w:b/>
          <w:bCs/>
          <w:noProof w:val="0"/>
          <w:rtl/>
        </w:rPr>
      </w:pPr>
      <w:r>
        <w:rPr>
          <w:rFonts w:ascii="Arial" w:hAnsi="Arial"/>
          <w:b/>
          <w:bCs/>
          <w:noProof w:val="0"/>
          <w:rtl/>
        </w:rPr>
        <w:t>165. (א) הניכוי האמור יקוזז כנגד המס שיוטל על הכנסתו החייבת של מקבל ההכנסה בשנת המס שבה נעשה הניכוי או בשנת המס שלאחריה לפי ברירת פקיד השומה בשעת השומה או לפניה.</w:t>
      </w:r>
    </w:p>
    <w:p w:rsidR="00EC1E5C" w:rsidRDefault="00EC1E5C" w:rsidP="00EC1E5C">
      <w:pPr>
        <w:spacing w:line="360" w:lineRule="auto"/>
        <w:ind w:left="1440" w:firstLine="544"/>
        <w:jc w:val="both"/>
        <w:rPr>
          <w:rFonts w:ascii="Arial" w:hAnsi="Arial"/>
          <w:b/>
          <w:bCs/>
          <w:noProof w:val="0"/>
          <w:rtl/>
        </w:rPr>
      </w:pPr>
      <w:r>
        <w:rPr>
          <w:rFonts w:ascii="Arial" w:hAnsi="Arial"/>
          <w:b/>
          <w:bCs/>
          <w:noProof w:val="0"/>
          <w:rtl/>
        </w:rPr>
        <w:t>(ב) קיזוז על פי סעיף קטן (א) כנגד המס שחייב בו בעל שליטה כמשמעותו בסעיף 32(9), ייעשה רק אחרי שהסכום שנוכה שולם לפקיד השומה, זולת אם יש לבעל השליטה שליטה פחותה מ-50% והוא הוכיח להנחת דעתו של פקיד השומה שלא ידע כי הסכום שנוכה לא שולם לפקיד השומה או שנקט בכל האמצעים הסבירים להבטחת התשלום."</w:t>
      </w:r>
    </w:p>
    <w:p w:rsidR="00EC1E5C" w:rsidRDefault="00EC1E5C" w:rsidP="00EC1E5C">
      <w:pPr>
        <w:spacing w:line="360" w:lineRule="auto"/>
        <w:jc w:val="both"/>
        <w:rPr>
          <w:rFonts w:ascii="Arial" w:hAnsi="Arial"/>
          <w:noProof w:val="0"/>
          <w:rtl/>
        </w:rPr>
      </w:pPr>
    </w:p>
    <w:p w:rsidR="00EC1E5C" w:rsidRDefault="00EC1E5C" w:rsidP="00EC1E5C">
      <w:pPr>
        <w:spacing w:line="360" w:lineRule="auto"/>
        <w:jc w:val="both"/>
        <w:rPr>
          <w:rFonts w:ascii="Arial" w:hAnsi="Arial"/>
          <w:noProof w:val="0"/>
          <w:rtl/>
        </w:rPr>
      </w:pPr>
      <w:r>
        <w:rPr>
          <w:rFonts w:ascii="Arial" w:hAnsi="Arial"/>
          <w:noProof w:val="0"/>
          <w:rtl/>
        </w:rPr>
        <w:t>להלן הוראות תקנות מס הכנסה (ניכוי מתשלומים בעד שירותים או נכסים), תשל"ז-1977;</w:t>
      </w:r>
    </w:p>
    <w:p w:rsidR="00EC1E5C" w:rsidRDefault="00EC1E5C" w:rsidP="00EC1E5C">
      <w:pPr>
        <w:spacing w:line="360" w:lineRule="auto"/>
        <w:ind w:left="720" w:firstLine="720"/>
        <w:jc w:val="both"/>
        <w:rPr>
          <w:rFonts w:ascii="Arial" w:hAnsi="Arial"/>
          <w:noProof w:val="0"/>
          <w:rtl/>
        </w:rPr>
      </w:pPr>
      <w:r>
        <w:rPr>
          <w:rFonts w:ascii="Arial" w:hAnsi="Arial"/>
          <w:b/>
          <w:bCs/>
          <w:noProof w:val="0"/>
          <w:rtl/>
        </w:rPr>
        <w:t>"ניכוי מס</w:t>
      </w:r>
    </w:p>
    <w:p w:rsidR="00EC1E5C" w:rsidRDefault="00EC1E5C" w:rsidP="00EC1E5C">
      <w:pPr>
        <w:spacing w:line="360" w:lineRule="auto"/>
        <w:ind w:left="1440"/>
        <w:jc w:val="both"/>
        <w:rPr>
          <w:rFonts w:ascii="Arial" w:hAnsi="Arial"/>
          <w:b/>
          <w:bCs/>
          <w:noProof w:val="0"/>
          <w:u w:val="single"/>
          <w:rtl/>
        </w:rPr>
      </w:pPr>
      <w:r>
        <w:rPr>
          <w:rFonts w:ascii="Arial" w:hAnsi="Arial"/>
          <w:b/>
          <w:bCs/>
          <w:noProof w:val="0"/>
          <w:rtl/>
        </w:rPr>
        <w:t xml:space="preserve">2. (א) משלם המשלם למקבל תשלומים בעד שירותים או נכסים, למעט תשלומים כאמור בעד נכס או שירות ששווים אינו עולה על הסכום הקבוע בסעיף 2(ב) לחוק עסקאות גופים ציבוריים (אכיפת ניהול חשבונות ותשלום חובות מס), תשל"ו-1976 </w:t>
      </w:r>
      <w:r>
        <w:rPr>
          <w:rFonts w:ascii="Arial" w:hAnsi="Arial"/>
          <w:b/>
          <w:bCs/>
          <w:noProof w:val="0"/>
          <w:u w:val="single"/>
          <w:rtl/>
        </w:rPr>
        <w:t xml:space="preserve">ינכה מתשלומים אלה מס בשיעור של 20%. </w:t>
      </w:r>
    </w:p>
    <w:p w:rsidR="00EC1E5C" w:rsidRDefault="00EC1E5C" w:rsidP="00EC1E5C">
      <w:pPr>
        <w:spacing w:line="360" w:lineRule="auto"/>
        <w:ind w:left="1701"/>
        <w:jc w:val="both"/>
        <w:rPr>
          <w:rFonts w:ascii="Arial" w:hAnsi="Arial"/>
          <w:b/>
          <w:bCs/>
          <w:noProof w:val="0"/>
          <w:rtl/>
        </w:rPr>
      </w:pPr>
      <w:r>
        <w:rPr>
          <w:rFonts w:ascii="Arial" w:hAnsi="Arial"/>
          <w:b/>
          <w:bCs/>
          <w:noProof w:val="0"/>
          <w:rtl/>
        </w:rPr>
        <w:t xml:space="preserve">(ב) על אף האמור בתקנת משנה (א) אם לא הוכיח המקבל להנחת דעתו של פקיד השומה, כי ניהל לגבי הכנסתו פנקסים קבילים, וכי הגיש את כל הדו"חות שחויב בהגשתם בהתאם להוראות הפקודה ואין בידו אישור בכתב במפקיד השומה כי ניהל פנקסים קבילים והגיש את כל הדו"חות האמורים, </w:t>
      </w:r>
      <w:r>
        <w:rPr>
          <w:rFonts w:ascii="Arial" w:hAnsi="Arial"/>
          <w:b/>
          <w:bCs/>
          <w:noProof w:val="0"/>
          <w:u w:val="single"/>
          <w:rtl/>
        </w:rPr>
        <w:t xml:space="preserve">ינוכה מס בשיעור של 30%. </w:t>
      </w:r>
    </w:p>
    <w:p w:rsidR="00EC1E5C" w:rsidRDefault="00EC1E5C" w:rsidP="00EC1E5C">
      <w:pPr>
        <w:spacing w:line="360" w:lineRule="auto"/>
        <w:ind w:left="1701"/>
        <w:jc w:val="both"/>
        <w:rPr>
          <w:rFonts w:ascii="Arial" w:hAnsi="Arial"/>
          <w:b/>
          <w:bCs/>
          <w:noProof w:val="0"/>
          <w:u w:val="single"/>
          <w:rtl/>
        </w:rPr>
      </w:pPr>
      <w:r>
        <w:rPr>
          <w:rFonts w:ascii="Arial" w:hAnsi="Arial"/>
          <w:b/>
          <w:bCs/>
          <w:noProof w:val="0"/>
          <w:rtl/>
        </w:rPr>
        <w:t xml:space="preserve">(ג) היה התשלום האמור בתקנת משנה (א) כולו או חלקו בשווה כסף יקבע המשלם לצורך הניכוי את סכום התשלום כפי שעלה לו. </w:t>
      </w:r>
      <w:r>
        <w:rPr>
          <w:rFonts w:ascii="Arial" w:hAnsi="Arial"/>
          <w:b/>
          <w:bCs/>
          <w:noProof w:val="0"/>
          <w:u w:val="single"/>
          <w:rtl/>
        </w:rPr>
        <w:t xml:space="preserve">פקיד השומה רשאי להגדיל או להקטין את הסכום האמור בתקנת משנה זו, והמשלם ינכה את המס לפי קביעת פקיד השומה." </w:t>
      </w:r>
    </w:p>
    <w:p w:rsidR="00EC1E5C" w:rsidRDefault="00EC1E5C" w:rsidP="00EC1E5C">
      <w:pPr>
        <w:spacing w:line="360" w:lineRule="auto"/>
        <w:ind w:firstLine="720"/>
        <w:jc w:val="both"/>
        <w:rPr>
          <w:rFonts w:ascii="Arial" w:hAnsi="Arial"/>
          <w:b/>
          <w:bCs/>
          <w:noProof w:val="0"/>
          <w:u w:val="single"/>
          <w:rtl/>
        </w:rPr>
      </w:pPr>
    </w:p>
    <w:p w:rsidR="00EC1E5C" w:rsidRDefault="00EC1E5C" w:rsidP="00EC1E5C">
      <w:pPr>
        <w:pStyle w:val="ad"/>
        <w:numPr>
          <w:ilvl w:val="0"/>
          <w:numId w:val="1"/>
        </w:numPr>
        <w:spacing w:line="360" w:lineRule="auto"/>
        <w:jc w:val="both"/>
        <w:rPr>
          <w:rFonts w:ascii="Arial" w:hAnsi="Arial"/>
          <w:noProof w:val="0"/>
          <w:rtl/>
        </w:rPr>
      </w:pPr>
      <w:r>
        <w:rPr>
          <w:rFonts w:ascii="Arial" w:hAnsi="Arial"/>
          <w:noProof w:val="0"/>
          <w:rtl/>
        </w:rPr>
        <w:t>הפקודה והתקנות מכוחה, יוצרות חובת ניכוי מס במקור בשיעורים ובנסיבות הקבועים בהם. אל מול חובה זו קיימת הסמכות לפקיד השומה להקטין את שיעור הניכוי הקבוע ואף לאפסו אם שוכנע כי יוותר עודף מס.</w:t>
      </w:r>
    </w:p>
    <w:p w:rsidR="00EC1E5C" w:rsidRDefault="00EC1E5C" w:rsidP="00EC1E5C">
      <w:pPr>
        <w:pStyle w:val="ad"/>
        <w:spacing w:line="360" w:lineRule="auto"/>
        <w:jc w:val="both"/>
        <w:rPr>
          <w:rFonts w:ascii="Arial" w:hAnsi="Arial"/>
          <w:noProof w:val="0"/>
        </w:rPr>
      </w:pPr>
    </w:p>
    <w:p w:rsidR="00EC1E5C" w:rsidRDefault="00EC1E5C" w:rsidP="00612A05">
      <w:pPr>
        <w:pStyle w:val="ad"/>
        <w:numPr>
          <w:ilvl w:val="0"/>
          <w:numId w:val="1"/>
        </w:numPr>
        <w:spacing w:line="360" w:lineRule="auto"/>
        <w:jc w:val="both"/>
        <w:rPr>
          <w:rFonts w:ascii="Arial" w:hAnsi="Arial"/>
          <w:noProof w:val="0"/>
          <w:rtl/>
        </w:rPr>
      </w:pPr>
      <w:r>
        <w:rPr>
          <w:rFonts w:ascii="Arial" w:hAnsi="Arial"/>
          <w:noProof w:val="0"/>
          <w:rtl/>
        </w:rPr>
        <w:t>ניכוי במקור נועד לשם אכיפה יעילה, ובין מטרותיו</w:t>
      </w:r>
      <w:r w:rsidR="000F7BE6">
        <w:rPr>
          <w:rFonts w:ascii="Arial" w:hAnsi="Arial" w:hint="cs"/>
          <w:noProof w:val="0"/>
          <w:rtl/>
        </w:rPr>
        <w:t>,</w:t>
      </w:r>
      <w:r>
        <w:rPr>
          <w:rFonts w:ascii="Arial" w:hAnsi="Arial"/>
          <w:noProof w:val="0"/>
          <w:rtl/>
        </w:rPr>
        <w:t xml:space="preserve"> הבטחת גביית המס ותשלומו בסמוך </w:t>
      </w:r>
      <w:r w:rsidR="00347810">
        <w:rPr>
          <w:rFonts w:ascii="Arial" w:hAnsi="Arial" w:hint="cs"/>
          <w:noProof w:val="0"/>
          <w:rtl/>
        </w:rPr>
        <w:t xml:space="preserve"> </w:t>
      </w:r>
      <w:r w:rsidR="000F7BE6">
        <w:rPr>
          <w:rFonts w:ascii="Arial" w:hAnsi="Arial" w:hint="cs"/>
          <w:noProof w:val="0"/>
          <w:rtl/>
        </w:rPr>
        <w:t>למועד התקבול, תוך הטלת חוב</w:t>
      </w:r>
      <w:r w:rsidR="00612A05">
        <w:rPr>
          <w:rFonts w:ascii="Arial" w:hAnsi="Arial" w:hint="cs"/>
          <w:noProof w:val="0"/>
          <w:rtl/>
        </w:rPr>
        <w:t>ה</w:t>
      </w:r>
      <w:r w:rsidR="000F7BE6">
        <w:rPr>
          <w:rFonts w:ascii="Arial" w:hAnsi="Arial" w:hint="cs"/>
          <w:noProof w:val="0"/>
          <w:rtl/>
        </w:rPr>
        <w:t xml:space="preserve"> על המשלם להעביר את סכום המס, עד לקביעת שומת ההכנסות במסגרת הדו"ח השנתי.</w:t>
      </w:r>
    </w:p>
    <w:p w:rsidR="00EC1E5C" w:rsidRDefault="00EC1E5C" w:rsidP="00EC1E5C">
      <w:pPr>
        <w:pStyle w:val="ad"/>
        <w:rPr>
          <w:rFonts w:ascii="Arial" w:hAnsi="Arial"/>
          <w:noProof w:val="0"/>
        </w:rPr>
      </w:pPr>
    </w:p>
    <w:p w:rsidR="00EC1E5C" w:rsidRDefault="00347810" w:rsidP="000F7BE6">
      <w:pPr>
        <w:pStyle w:val="ad"/>
        <w:numPr>
          <w:ilvl w:val="0"/>
          <w:numId w:val="1"/>
        </w:numPr>
        <w:spacing w:line="360" w:lineRule="auto"/>
        <w:jc w:val="both"/>
        <w:rPr>
          <w:rFonts w:ascii="Arial" w:hAnsi="Arial"/>
          <w:noProof w:val="0"/>
        </w:rPr>
      </w:pPr>
      <w:r w:rsidRPr="00347810">
        <w:rPr>
          <w:rFonts w:ascii="Arial" w:hAnsi="Arial" w:hint="cs"/>
          <w:noProof w:val="0"/>
          <w:rtl/>
        </w:rPr>
        <w:t>המשיב הפנה בתגובתו להוראת ביצוע מס הכנסה מיום 7.1.24 מספר 3/2024 בדבר ניכוי מס במקור ואישורים לפי חוק עסקאות גופים ציבוריים לשנת המס 2024</w:t>
      </w:r>
      <w:r w:rsidR="000F7BE6">
        <w:rPr>
          <w:rFonts w:ascii="Arial" w:hAnsi="Arial" w:hint="cs"/>
          <w:noProof w:val="0"/>
          <w:rtl/>
        </w:rPr>
        <w:t xml:space="preserve"> (להלן: "</w:t>
      </w:r>
      <w:r w:rsidR="000F7BE6" w:rsidRPr="000F7BE6">
        <w:rPr>
          <w:rFonts w:ascii="Arial" w:hAnsi="Arial" w:hint="cs"/>
          <w:b/>
          <w:bCs/>
          <w:noProof w:val="0"/>
          <w:rtl/>
        </w:rPr>
        <w:t>הוראת הביצוע</w:t>
      </w:r>
      <w:r w:rsidR="000F7BE6">
        <w:rPr>
          <w:rFonts w:ascii="Arial" w:hAnsi="Arial" w:hint="cs"/>
          <w:noProof w:val="0"/>
          <w:rtl/>
        </w:rPr>
        <w:t>")</w:t>
      </w:r>
      <w:r w:rsidRPr="00347810">
        <w:rPr>
          <w:rFonts w:ascii="Arial" w:hAnsi="Arial" w:hint="cs"/>
          <w:noProof w:val="0"/>
          <w:rtl/>
        </w:rPr>
        <w:t xml:space="preserve">. </w:t>
      </w:r>
      <w:r>
        <w:rPr>
          <w:rFonts w:ascii="Arial" w:hAnsi="Arial" w:hint="cs"/>
          <w:noProof w:val="0"/>
          <w:rtl/>
        </w:rPr>
        <w:t xml:space="preserve">נטען כי בנסיבות המקרה ועל פי הוראת הביצוע היה מקום לקבוע שיעור ניכוי מס במקור של 5%. </w:t>
      </w:r>
    </w:p>
    <w:p w:rsidR="00D01EA8" w:rsidRPr="00D01EA8" w:rsidRDefault="00D01EA8" w:rsidP="00D01EA8">
      <w:pPr>
        <w:pStyle w:val="ad"/>
        <w:rPr>
          <w:rFonts w:ascii="Arial" w:hAnsi="Arial"/>
          <w:noProof w:val="0"/>
          <w:rtl/>
        </w:rPr>
      </w:pPr>
    </w:p>
    <w:p w:rsidR="00D01EA8" w:rsidRDefault="00D01EA8" w:rsidP="00132EFF">
      <w:pPr>
        <w:pStyle w:val="ad"/>
        <w:numPr>
          <w:ilvl w:val="0"/>
          <w:numId w:val="1"/>
        </w:numPr>
        <w:spacing w:line="360" w:lineRule="auto"/>
        <w:jc w:val="both"/>
        <w:rPr>
          <w:rFonts w:ascii="Arial" w:hAnsi="Arial"/>
          <w:noProof w:val="0"/>
        </w:rPr>
      </w:pPr>
      <w:r>
        <w:rPr>
          <w:rFonts w:ascii="Arial" w:hAnsi="Arial" w:hint="cs"/>
          <w:noProof w:val="0"/>
          <w:rtl/>
        </w:rPr>
        <w:t xml:space="preserve">לטענת המבקשת, </w:t>
      </w:r>
      <w:r w:rsidR="0097020F">
        <w:rPr>
          <w:rFonts w:ascii="Arial" w:hAnsi="Arial" w:hint="cs"/>
          <w:noProof w:val="0"/>
          <w:rtl/>
        </w:rPr>
        <w:t>חייב המשיב להכיר בזכות</w:t>
      </w:r>
      <w:r w:rsidR="000F7BE6">
        <w:rPr>
          <w:rFonts w:ascii="Arial" w:hAnsi="Arial" w:hint="cs"/>
          <w:noProof w:val="0"/>
          <w:rtl/>
        </w:rPr>
        <w:t>ה</w:t>
      </w:r>
      <w:r w:rsidR="0097020F">
        <w:rPr>
          <w:rFonts w:ascii="Arial" w:hAnsi="Arial" w:hint="cs"/>
          <w:noProof w:val="0"/>
          <w:rtl/>
        </w:rPr>
        <w:t xml:space="preserve"> ליהנו</w:t>
      </w:r>
      <w:r w:rsidR="0097020F">
        <w:rPr>
          <w:rFonts w:ascii="Arial" w:hAnsi="Arial" w:hint="eastAsia"/>
          <w:noProof w:val="0"/>
          <w:rtl/>
        </w:rPr>
        <w:t>ת</w:t>
      </w:r>
      <w:r w:rsidR="0097020F">
        <w:rPr>
          <w:rFonts w:ascii="Arial" w:hAnsi="Arial" w:hint="cs"/>
          <w:noProof w:val="0"/>
          <w:rtl/>
        </w:rPr>
        <w:t xml:space="preserve"> מחזקת החפות ולאפשר לה לנהל את עסקיה באופן בו לא יהפוך הליך הביקורת לאקט המעקר את המשך קיומה כעסק מתפקד. נטען כי המבקשת מצויה על סף קריסה טוטאלית, כך שהותרת אישור הניכוי בשיעור של 5% לא תאפשר את הישרדות המבקשת ולו לימים הקרובים. עוד נטען, כי קביעת שיעור ניכוי מס במקור כפי שנקבע, מהווה סנקציה קשה ובלתי סבירה אשר נועדה להקדים ולגבות מס על בסיס וחשבון הנחות שמיוחסות למבקשת. לטענת המבקשת, היא נמצאת בפני סכנה מידית לסגירת עסקיה והכל בשל החלטה אשר יסודה בשיקול דעת בלתי מידתי ונוקשה. </w:t>
      </w:r>
      <w:r w:rsidR="005143D9">
        <w:rPr>
          <w:rFonts w:ascii="Arial" w:hAnsi="Arial" w:hint="cs"/>
          <w:noProof w:val="0"/>
          <w:rtl/>
        </w:rPr>
        <w:t xml:space="preserve">בעניין מאזן הנוחות, נטען כי אין במתן הסעד הזמני משום גרימת נזק כלשהו למשיב. לבקשת הסעד הזמני צורף תצהירו של מר נוריאל יהודה, מנהלה של חברת ראש אנרגיה י.נ. בע"מ (להלן </w:t>
      </w:r>
      <w:r w:rsidR="005143D9">
        <w:rPr>
          <w:rFonts w:ascii="Arial" w:hAnsi="Arial"/>
          <w:noProof w:val="0"/>
          <w:rtl/>
        </w:rPr>
        <w:t>–</w:t>
      </w:r>
      <w:r w:rsidR="005143D9">
        <w:rPr>
          <w:rFonts w:ascii="Arial" w:hAnsi="Arial" w:hint="cs"/>
          <w:noProof w:val="0"/>
          <w:rtl/>
        </w:rPr>
        <w:t xml:space="preserve"> "ראש אנרגיה"), המחזיקה את מלוא המניות והמשמשת דירקטורי</w:t>
      </w:r>
      <w:r w:rsidR="005143D9">
        <w:rPr>
          <w:rFonts w:ascii="Arial" w:hAnsi="Arial" w:hint="eastAsia"/>
          <w:noProof w:val="0"/>
          <w:rtl/>
        </w:rPr>
        <w:t>ת</w:t>
      </w:r>
      <w:r w:rsidR="005143D9">
        <w:rPr>
          <w:rFonts w:ascii="Arial" w:hAnsi="Arial" w:hint="cs"/>
          <w:noProof w:val="0"/>
          <w:rtl/>
        </w:rPr>
        <w:t xml:space="preserve"> של המבקשת. </w:t>
      </w:r>
    </w:p>
    <w:p w:rsidR="0039511B" w:rsidRPr="0039511B" w:rsidRDefault="0039511B" w:rsidP="0039511B">
      <w:pPr>
        <w:pStyle w:val="ad"/>
        <w:rPr>
          <w:rFonts w:ascii="Arial" w:hAnsi="Arial"/>
          <w:noProof w:val="0"/>
          <w:rtl/>
        </w:rPr>
      </w:pPr>
    </w:p>
    <w:p w:rsidR="0039511B" w:rsidRDefault="0039511B" w:rsidP="00132EFF">
      <w:pPr>
        <w:pStyle w:val="ad"/>
        <w:numPr>
          <w:ilvl w:val="0"/>
          <w:numId w:val="1"/>
        </w:numPr>
        <w:spacing w:line="360" w:lineRule="auto"/>
        <w:jc w:val="both"/>
        <w:rPr>
          <w:rFonts w:ascii="Arial" w:hAnsi="Arial"/>
          <w:noProof w:val="0"/>
        </w:rPr>
      </w:pPr>
      <w:r>
        <w:rPr>
          <w:rFonts w:ascii="Arial" w:hAnsi="Arial" w:hint="cs"/>
          <w:noProof w:val="0"/>
          <w:rtl/>
        </w:rPr>
        <w:t xml:space="preserve">המשיב פרט בתגובתו בבקשה ממצאים שעלו לגבי התנהגות </w:t>
      </w:r>
      <w:r w:rsidR="00132EFF">
        <w:rPr>
          <w:rFonts w:ascii="Arial" w:hAnsi="Arial" w:hint="cs"/>
          <w:noProof w:val="0"/>
          <w:rtl/>
        </w:rPr>
        <w:t>המבקשת ו</w:t>
      </w:r>
      <w:r>
        <w:rPr>
          <w:rFonts w:ascii="Arial" w:hAnsi="Arial" w:hint="cs"/>
          <w:noProof w:val="0"/>
          <w:rtl/>
        </w:rPr>
        <w:t xml:space="preserve">בעלי מניותיה המצדקים את החלטתו. זאת ועוד, נטען כי המבקשת נמנעה מלהמציא למשיב תיעוד מהותי כפי שהתבקשה, בכדי לבחון את האפשרות להקטין את שיעור הניכוי במקור. בעניין מאזן הנוחות, טען המשיב כי בית המשפט נדרש לבחון גם את הנזק שעלול להיגרם </w:t>
      </w:r>
      <w:r w:rsidR="00132EFF">
        <w:rPr>
          <w:rFonts w:ascii="Arial" w:hAnsi="Arial" w:hint="cs"/>
          <w:noProof w:val="0"/>
          <w:rtl/>
        </w:rPr>
        <w:t xml:space="preserve">לאינטרס </w:t>
      </w:r>
      <w:r>
        <w:rPr>
          <w:rFonts w:ascii="Arial" w:hAnsi="Arial" w:hint="cs"/>
          <w:noProof w:val="0"/>
          <w:rtl/>
        </w:rPr>
        <w:t xml:space="preserve">הציבורי. בתגובה לבקשה צורף תצהירה של ממונה חוליה מרכזית אצל המשיב. </w:t>
      </w:r>
    </w:p>
    <w:p w:rsidR="0039511B" w:rsidRPr="00132EFF" w:rsidRDefault="0039511B" w:rsidP="0039511B">
      <w:pPr>
        <w:pStyle w:val="ad"/>
        <w:rPr>
          <w:rFonts w:ascii="Arial" w:hAnsi="Arial"/>
          <w:noProof w:val="0"/>
          <w:rtl/>
        </w:rPr>
      </w:pPr>
    </w:p>
    <w:p w:rsidR="0039511B" w:rsidRDefault="0039511B" w:rsidP="002B73A5">
      <w:pPr>
        <w:pStyle w:val="ad"/>
        <w:numPr>
          <w:ilvl w:val="0"/>
          <w:numId w:val="1"/>
        </w:numPr>
        <w:spacing w:line="360" w:lineRule="auto"/>
        <w:jc w:val="both"/>
        <w:rPr>
          <w:rFonts w:ascii="Arial" w:hAnsi="Arial"/>
          <w:noProof w:val="0"/>
        </w:rPr>
      </w:pPr>
      <w:r>
        <w:rPr>
          <w:rFonts w:ascii="Arial" w:hAnsi="Arial" w:hint="cs"/>
          <w:noProof w:val="0"/>
          <w:rtl/>
        </w:rPr>
        <w:t>להלן יפורטו הממצאים העומדים בבסיס החלטת המשיב</w:t>
      </w:r>
      <w:r w:rsidR="006F2778">
        <w:rPr>
          <w:rFonts w:ascii="Arial" w:hAnsi="Arial" w:hint="cs"/>
          <w:noProof w:val="0"/>
          <w:rtl/>
        </w:rPr>
        <w:t xml:space="preserve">: </w:t>
      </w:r>
    </w:p>
    <w:p w:rsidR="006F2778" w:rsidRPr="006F2778" w:rsidRDefault="006F2778" w:rsidP="006F2778">
      <w:pPr>
        <w:pStyle w:val="ad"/>
        <w:rPr>
          <w:rFonts w:ascii="Arial" w:hAnsi="Arial"/>
          <w:noProof w:val="0"/>
          <w:rtl/>
        </w:rPr>
      </w:pPr>
    </w:p>
    <w:p w:rsidR="006F2778" w:rsidRDefault="006F2778" w:rsidP="006F2778">
      <w:pPr>
        <w:pStyle w:val="ad"/>
        <w:numPr>
          <w:ilvl w:val="0"/>
          <w:numId w:val="2"/>
        </w:numPr>
        <w:spacing w:line="360" w:lineRule="auto"/>
        <w:jc w:val="both"/>
        <w:rPr>
          <w:rFonts w:ascii="Arial" w:hAnsi="Arial"/>
          <w:noProof w:val="0"/>
        </w:rPr>
      </w:pPr>
      <w:r>
        <w:rPr>
          <w:rFonts w:ascii="Arial" w:hAnsi="Arial" w:hint="cs"/>
          <w:noProof w:val="0"/>
          <w:rtl/>
        </w:rPr>
        <w:t>בשנת 2023 מונה מנהל חדש בחברה, נוריאל יהודה, אשר הוצאה לו בשנת 2017 שומת תשומות בגין שימוש בחשבוניות פיקטיביו</w:t>
      </w:r>
      <w:r>
        <w:rPr>
          <w:rFonts w:ascii="Arial" w:hAnsi="Arial" w:hint="eastAsia"/>
          <w:noProof w:val="0"/>
          <w:rtl/>
        </w:rPr>
        <w:t>ת</w:t>
      </w:r>
      <w:r>
        <w:rPr>
          <w:rFonts w:ascii="Arial" w:hAnsi="Arial" w:hint="cs"/>
          <w:noProof w:val="0"/>
          <w:rtl/>
        </w:rPr>
        <w:t xml:space="preserve"> ותיקו האישי במע"מ נסגר החל מיום 1.4.22. כמו כן, קיימים תיקים פלילים וכתבי אישום נגד מיכאל </w:t>
      </w:r>
      <w:proofErr w:type="spellStart"/>
      <w:r>
        <w:rPr>
          <w:rFonts w:ascii="Arial" w:hAnsi="Arial" w:hint="cs"/>
          <w:noProof w:val="0"/>
          <w:rtl/>
        </w:rPr>
        <w:t>קריספין</w:t>
      </w:r>
      <w:proofErr w:type="spellEnd"/>
      <w:r>
        <w:rPr>
          <w:rFonts w:ascii="Arial" w:hAnsi="Arial" w:hint="cs"/>
          <w:noProof w:val="0"/>
          <w:rtl/>
        </w:rPr>
        <w:t xml:space="preserve">, שהוא אחד משני הגורמים המהותיים המנהלים את המבקשת. </w:t>
      </w:r>
    </w:p>
    <w:p w:rsidR="00475E38" w:rsidRDefault="00475E38" w:rsidP="00475E38">
      <w:pPr>
        <w:pStyle w:val="ad"/>
        <w:spacing w:line="360" w:lineRule="auto"/>
        <w:ind w:left="1080"/>
        <w:jc w:val="both"/>
        <w:rPr>
          <w:rFonts w:ascii="Arial" w:hAnsi="Arial"/>
          <w:noProof w:val="0"/>
        </w:rPr>
      </w:pPr>
    </w:p>
    <w:p w:rsidR="00475E38" w:rsidRDefault="00475E38" w:rsidP="006F2778">
      <w:pPr>
        <w:pStyle w:val="ad"/>
        <w:numPr>
          <w:ilvl w:val="0"/>
          <w:numId w:val="2"/>
        </w:numPr>
        <w:spacing w:line="360" w:lineRule="auto"/>
        <w:jc w:val="both"/>
        <w:rPr>
          <w:rFonts w:ascii="Arial" w:hAnsi="Arial"/>
          <w:noProof w:val="0"/>
        </w:rPr>
      </w:pPr>
      <w:r>
        <w:rPr>
          <w:rFonts w:ascii="Arial" w:hAnsi="Arial" w:hint="cs"/>
          <w:noProof w:val="0"/>
          <w:rtl/>
        </w:rPr>
        <w:t xml:space="preserve">ראש אנרגיה, המחזיקה במניות המבקשת, סגורה במע"מ החל מיום 1.3.23. בביקורת ניהול ספרים נמצא אי רשום תקבולים בהיקף של 193,000 ₪. </w:t>
      </w:r>
    </w:p>
    <w:p w:rsidR="00475E38" w:rsidRPr="00475E38" w:rsidRDefault="00475E38" w:rsidP="00475E38">
      <w:pPr>
        <w:pStyle w:val="ad"/>
        <w:rPr>
          <w:rFonts w:ascii="Arial" w:hAnsi="Arial"/>
          <w:noProof w:val="0"/>
          <w:rtl/>
        </w:rPr>
      </w:pPr>
    </w:p>
    <w:p w:rsidR="00475E38" w:rsidRDefault="00475E38" w:rsidP="006F2778">
      <w:pPr>
        <w:pStyle w:val="ad"/>
        <w:numPr>
          <w:ilvl w:val="0"/>
          <w:numId w:val="2"/>
        </w:numPr>
        <w:spacing w:line="360" w:lineRule="auto"/>
        <w:jc w:val="both"/>
        <w:rPr>
          <w:rFonts w:ascii="Arial" w:hAnsi="Arial"/>
          <w:noProof w:val="0"/>
        </w:rPr>
      </w:pPr>
      <w:r>
        <w:rPr>
          <w:rFonts w:ascii="Arial" w:hAnsi="Arial" w:hint="cs"/>
          <w:noProof w:val="0"/>
          <w:rtl/>
        </w:rPr>
        <w:t xml:space="preserve">המבקשת לא מדווחת על ספקים לניכוים החל משנת 2022 ועד לדיווחה האחרון לחודשים 1-6/2024. </w:t>
      </w:r>
    </w:p>
    <w:p w:rsidR="00475E38" w:rsidRPr="00475E38" w:rsidRDefault="00475E38" w:rsidP="00475E38">
      <w:pPr>
        <w:pStyle w:val="ad"/>
        <w:rPr>
          <w:rFonts w:ascii="Arial" w:hAnsi="Arial"/>
          <w:noProof w:val="0"/>
          <w:rtl/>
        </w:rPr>
      </w:pPr>
    </w:p>
    <w:p w:rsidR="00475E38" w:rsidRDefault="00475E38" w:rsidP="00475E38">
      <w:pPr>
        <w:pStyle w:val="ad"/>
        <w:numPr>
          <w:ilvl w:val="0"/>
          <w:numId w:val="2"/>
        </w:numPr>
        <w:spacing w:line="360" w:lineRule="auto"/>
        <w:jc w:val="both"/>
        <w:rPr>
          <w:rFonts w:ascii="Arial" w:hAnsi="Arial"/>
          <w:noProof w:val="0"/>
        </w:rPr>
      </w:pPr>
      <w:r>
        <w:rPr>
          <w:rFonts w:ascii="Arial" w:hAnsi="Arial" w:hint="cs"/>
          <w:noProof w:val="0"/>
          <w:rtl/>
        </w:rPr>
        <w:t xml:space="preserve">החל מחודש דצמבר 2023 המבקשת החלה לדווח על היקף מחזורים ותשומות מהותיים מפעילויות חדשות (מחזור פעילות חודשי </w:t>
      </w:r>
      <w:r w:rsidR="00A047BD">
        <w:rPr>
          <w:rFonts w:ascii="Arial" w:hAnsi="Arial" w:hint="cs"/>
          <w:noProof w:val="0"/>
          <w:rtl/>
        </w:rPr>
        <w:t xml:space="preserve">של כ </w:t>
      </w:r>
      <w:r w:rsidR="00A047BD">
        <w:rPr>
          <w:rFonts w:ascii="Arial" w:hAnsi="Arial"/>
          <w:noProof w:val="0"/>
          <w:rtl/>
        </w:rPr>
        <w:t>–</w:t>
      </w:r>
      <w:r w:rsidR="00A047BD">
        <w:rPr>
          <w:rFonts w:ascii="Arial" w:hAnsi="Arial" w:hint="cs"/>
          <w:noProof w:val="0"/>
          <w:rtl/>
        </w:rPr>
        <w:t xml:space="preserve"> 20 מיליון ₪ נכון לחודשים ינואר </w:t>
      </w:r>
      <w:r w:rsidR="00A047BD">
        <w:rPr>
          <w:rFonts w:ascii="Arial" w:hAnsi="Arial"/>
          <w:noProof w:val="0"/>
          <w:rtl/>
        </w:rPr>
        <w:t>–</w:t>
      </w:r>
      <w:r w:rsidR="00A047BD">
        <w:rPr>
          <w:rFonts w:ascii="Arial" w:hAnsi="Arial" w:hint="cs"/>
          <w:noProof w:val="0"/>
          <w:rtl/>
        </w:rPr>
        <w:t xml:space="preserve"> יוני 2024</w:t>
      </w:r>
      <w:r w:rsidR="00132EFF">
        <w:rPr>
          <w:rFonts w:ascii="Arial" w:hAnsi="Arial" w:hint="cs"/>
          <w:noProof w:val="0"/>
          <w:rtl/>
        </w:rPr>
        <w:t>)</w:t>
      </w:r>
      <w:r w:rsidR="00A047BD">
        <w:rPr>
          <w:rFonts w:ascii="Arial" w:hAnsi="Arial" w:hint="cs"/>
          <w:noProof w:val="0"/>
          <w:rtl/>
        </w:rPr>
        <w:t xml:space="preserve">, כאשר המחזורים והתשומות שדווחו קודם לכן אינם מהותיים (כ </w:t>
      </w:r>
      <w:r w:rsidR="00A047BD">
        <w:rPr>
          <w:rFonts w:ascii="Arial" w:hAnsi="Arial"/>
          <w:noProof w:val="0"/>
          <w:rtl/>
        </w:rPr>
        <w:t>–</w:t>
      </w:r>
      <w:r w:rsidR="00A047BD">
        <w:rPr>
          <w:rFonts w:ascii="Arial" w:hAnsi="Arial" w:hint="cs"/>
          <w:noProof w:val="0"/>
          <w:rtl/>
        </w:rPr>
        <w:t xml:space="preserve"> 100,000 ₪ עד חודש נובמבר 2023). </w:t>
      </w:r>
    </w:p>
    <w:p w:rsidR="00A047BD" w:rsidRPr="00A047BD" w:rsidRDefault="00A047BD" w:rsidP="00A047BD">
      <w:pPr>
        <w:pStyle w:val="ad"/>
        <w:rPr>
          <w:rFonts w:ascii="Arial" w:hAnsi="Arial"/>
          <w:noProof w:val="0"/>
          <w:rtl/>
        </w:rPr>
      </w:pPr>
    </w:p>
    <w:p w:rsidR="00A047BD" w:rsidRDefault="00A047BD" w:rsidP="00132EFF">
      <w:pPr>
        <w:pStyle w:val="ad"/>
        <w:numPr>
          <w:ilvl w:val="0"/>
          <w:numId w:val="2"/>
        </w:numPr>
        <w:spacing w:line="360" w:lineRule="auto"/>
        <w:jc w:val="both"/>
        <w:rPr>
          <w:rFonts w:ascii="Arial" w:hAnsi="Arial"/>
          <w:noProof w:val="0"/>
        </w:rPr>
      </w:pPr>
      <w:r>
        <w:rPr>
          <w:rFonts w:ascii="Arial" w:hAnsi="Arial" w:hint="cs"/>
          <w:noProof w:val="0"/>
          <w:rtl/>
        </w:rPr>
        <w:t xml:space="preserve">הספקים שהמבקשת ניכתה תשומות בגינם בתקופה שבין ינואר ליולי 2024, התברר כי מע"מ פעלו באופן יזום לסגירת התיקים שלהם לאור הפצת חשבוניות פיקטיביות (הספקים: 4 </w:t>
      </w:r>
      <w:proofErr w:type="spellStart"/>
      <w:r>
        <w:rPr>
          <w:rFonts w:ascii="Arial" w:hAnsi="Arial" w:hint="cs"/>
          <w:noProof w:val="0"/>
          <w:rtl/>
        </w:rPr>
        <w:t>תי</w:t>
      </w:r>
      <w:proofErr w:type="spellEnd"/>
      <w:r>
        <w:rPr>
          <w:rFonts w:ascii="Arial" w:hAnsi="Arial" w:hint="cs"/>
          <w:noProof w:val="0"/>
          <w:rtl/>
        </w:rPr>
        <w:t xml:space="preserve"> - טק בע"מ; </w:t>
      </w:r>
      <w:proofErr w:type="spellStart"/>
      <w:r>
        <w:rPr>
          <w:rFonts w:ascii="Arial" w:hAnsi="Arial" w:hint="cs"/>
          <w:noProof w:val="0"/>
          <w:rtl/>
        </w:rPr>
        <w:t>ר.ח.ל</w:t>
      </w:r>
      <w:proofErr w:type="spellEnd"/>
      <w:r>
        <w:rPr>
          <w:rFonts w:ascii="Arial" w:hAnsi="Arial" w:hint="cs"/>
          <w:noProof w:val="0"/>
          <w:rtl/>
        </w:rPr>
        <w:t xml:space="preserve"> יעוץ עסקי אישי בע"מ; סטודיו אקס או בע"מ). </w:t>
      </w:r>
    </w:p>
    <w:p w:rsidR="00032D67" w:rsidRPr="00032D67" w:rsidRDefault="00032D67" w:rsidP="00032D67">
      <w:pPr>
        <w:pStyle w:val="ad"/>
        <w:rPr>
          <w:rFonts w:ascii="Arial" w:hAnsi="Arial"/>
          <w:noProof w:val="0"/>
          <w:rtl/>
        </w:rPr>
      </w:pPr>
    </w:p>
    <w:p w:rsidR="00032D67" w:rsidRDefault="00032D67" w:rsidP="00A047BD">
      <w:pPr>
        <w:pStyle w:val="ad"/>
        <w:numPr>
          <w:ilvl w:val="0"/>
          <w:numId w:val="2"/>
        </w:numPr>
        <w:spacing w:line="360" w:lineRule="auto"/>
        <w:jc w:val="both"/>
        <w:rPr>
          <w:rFonts w:ascii="Arial" w:hAnsi="Arial"/>
          <w:noProof w:val="0"/>
        </w:rPr>
      </w:pPr>
      <w:r>
        <w:rPr>
          <w:rFonts w:ascii="Arial" w:hAnsi="Arial" w:hint="cs"/>
          <w:noProof w:val="0"/>
          <w:rtl/>
        </w:rPr>
        <w:t xml:space="preserve">בשנת 2023 המבקשת דיווחה על מחזור פעילות של כ </w:t>
      </w:r>
      <w:r>
        <w:rPr>
          <w:rFonts w:ascii="Arial" w:hAnsi="Arial"/>
          <w:noProof w:val="0"/>
          <w:rtl/>
        </w:rPr>
        <w:t>–</w:t>
      </w:r>
      <w:r>
        <w:rPr>
          <w:rFonts w:ascii="Arial" w:hAnsi="Arial" w:hint="cs"/>
          <w:noProof w:val="0"/>
          <w:rtl/>
        </w:rPr>
        <w:t xml:space="preserve"> 12 מיליון ₪ ומנגד, לקוחות המבקשת לא דיווחו כנדרש על תשלומים למבקשת, אלא בסכום של 507,000 ₪ בלבד. </w:t>
      </w:r>
    </w:p>
    <w:p w:rsidR="000C3EC2" w:rsidRPr="000C3EC2" w:rsidRDefault="000C3EC2" w:rsidP="000C3EC2">
      <w:pPr>
        <w:pStyle w:val="ad"/>
        <w:rPr>
          <w:rFonts w:ascii="Arial" w:hAnsi="Arial"/>
          <w:noProof w:val="0"/>
          <w:rtl/>
        </w:rPr>
      </w:pPr>
    </w:p>
    <w:p w:rsidR="000C3EC2" w:rsidRDefault="00132EFF" w:rsidP="00132EFF">
      <w:pPr>
        <w:pStyle w:val="ad"/>
        <w:numPr>
          <w:ilvl w:val="0"/>
          <w:numId w:val="1"/>
        </w:numPr>
        <w:spacing w:line="360" w:lineRule="auto"/>
        <w:jc w:val="both"/>
        <w:rPr>
          <w:rFonts w:ascii="Arial" w:hAnsi="Arial"/>
          <w:noProof w:val="0"/>
        </w:rPr>
      </w:pPr>
      <w:r>
        <w:rPr>
          <w:rFonts w:ascii="Arial" w:hAnsi="Arial" w:hint="cs"/>
          <w:noProof w:val="0"/>
          <w:rtl/>
        </w:rPr>
        <w:t>עוד ציין</w:t>
      </w:r>
      <w:r w:rsidR="000C3EC2">
        <w:rPr>
          <w:rFonts w:ascii="Arial" w:hAnsi="Arial" w:hint="cs"/>
          <w:noProof w:val="0"/>
          <w:rtl/>
        </w:rPr>
        <w:t xml:space="preserve"> המשיב</w:t>
      </w:r>
      <w:r w:rsidR="00612A05">
        <w:rPr>
          <w:rFonts w:ascii="Arial" w:hAnsi="Arial" w:hint="cs"/>
          <w:noProof w:val="0"/>
          <w:rtl/>
        </w:rPr>
        <w:t>,</w:t>
      </w:r>
      <w:r w:rsidR="000C3EC2">
        <w:rPr>
          <w:rFonts w:ascii="Arial" w:hAnsi="Arial" w:hint="cs"/>
          <w:noProof w:val="0"/>
          <w:rtl/>
        </w:rPr>
        <w:t xml:space="preserve"> כי ביום 11.9.24 יצאה ממע"מ שומת תשומות לפי מיטב השפיטה בגין שימוש בחשבוניות פיקטיביות לרכישת סולר, המבוססת, בין היתר, על כך שבעלי המניות של החברות שדווחו על ידי המבקשת כספקיות הסולר, אינם מכירים את המבקשת או מי מטעמה ולא עסקו מעולם במכירת סולר. </w:t>
      </w:r>
      <w:r w:rsidR="005B27C6">
        <w:rPr>
          <w:rFonts w:ascii="Arial" w:hAnsi="Arial" w:hint="cs"/>
          <w:noProof w:val="0"/>
          <w:rtl/>
        </w:rPr>
        <w:t xml:space="preserve">יצוין כי מנספח 4 לתגובה עולה כי בכוונת מע"מ להוציא שומת תשומות לתקופה 4-7/2024 בסך של כ </w:t>
      </w:r>
      <w:r w:rsidR="005B27C6">
        <w:rPr>
          <w:rFonts w:ascii="Arial" w:hAnsi="Arial"/>
          <w:noProof w:val="0"/>
          <w:rtl/>
        </w:rPr>
        <w:t>–</w:t>
      </w:r>
      <w:r w:rsidR="005B27C6">
        <w:rPr>
          <w:rFonts w:ascii="Arial" w:hAnsi="Arial" w:hint="cs"/>
          <w:noProof w:val="0"/>
          <w:rtl/>
        </w:rPr>
        <w:t xml:space="preserve"> 14.6 מיליון ₪ בגין דרישת תשומות משלושת הספקים שצוינו לעיל בפסקה 9(</w:t>
      </w:r>
      <w:r>
        <w:rPr>
          <w:rFonts w:ascii="Arial" w:hAnsi="Arial" w:hint="cs"/>
          <w:noProof w:val="0"/>
          <w:rtl/>
        </w:rPr>
        <w:t>ה</w:t>
      </w:r>
      <w:r w:rsidR="005B27C6">
        <w:rPr>
          <w:rFonts w:ascii="Arial" w:hAnsi="Arial" w:hint="cs"/>
          <w:noProof w:val="0"/>
          <w:rtl/>
        </w:rPr>
        <w:t xml:space="preserve">). </w:t>
      </w:r>
    </w:p>
    <w:p w:rsidR="00DA09BB" w:rsidRDefault="00DA09BB" w:rsidP="00132EFF">
      <w:pPr>
        <w:pStyle w:val="ad"/>
        <w:numPr>
          <w:ilvl w:val="0"/>
          <w:numId w:val="1"/>
        </w:numPr>
        <w:spacing w:line="360" w:lineRule="auto"/>
        <w:jc w:val="both"/>
        <w:rPr>
          <w:rFonts w:ascii="Arial" w:hAnsi="Arial"/>
          <w:noProof w:val="0"/>
        </w:rPr>
      </w:pPr>
      <w:r>
        <w:rPr>
          <w:rFonts w:ascii="Arial" w:hAnsi="Arial" w:hint="cs"/>
          <w:noProof w:val="0"/>
          <w:rtl/>
        </w:rPr>
        <w:t>בהוראת הביצוע נקבע בסעיף 12</w:t>
      </w:r>
      <w:r w:rsidR="00132EFF">
        <w:rPr>
          <w:rFonts w:ascii="Arial" w:hAnsi="Arial" w:hint="cs"/>
          <w:noProof w:val="0"/>
          <w:rtl/>
        </w:rPr>
        <w:t>,</w:t>
      </w:r>
      <w:r>
        <w:rPr>
          <w:rFonts w:ascii="Arial" w:hAnsi="Arial" w:hint="cs"/>
          <w:noProof w:val="0"/>
          <w:rtl/>
        </w:rPr>
        <w:t xml:space="preserve"> העוסק באישורי ניכוי מס במקור עבור עסקים חדשים (המוגדרים כעסקים שהחלו לפעול מיום 1.7.23 או עד חצי שנה לפני הפקת האישור)</w:t>
      </w:r>
      <w:r w:rsidR="00132EFF">
        <w:rPr>
          <w:rFonts w:ascii="Arial" w:hAnsi="Arial" w:hint="cs"/>
          <w:noProof w:val="0"/>
          <w:rtl/>
        </w:rPr>
        <w:t>,</w:t>
      </w:r>
      <w:r w:rsidR="005A650B">
        <w:rPr>
          <w:rFonts w:ascii="Arial" w:hAnsi="Arial" w:hint="cs"/>
          <w:noProof w:val="0"/>
          <w:rtl/>
        </w:rPr>
        <w:t xml:space="preserve"> כי יש לנהוג משנה זהירות בעת מתן אישור ניכוי במקור במקרים של עסקים חדשים ובפרט חברות חדשות. בסעיף 12.9 להוראת הביצוע נקבע כי במקרים בהם "לאור הבדיקות מתעורר חשד כי העסק משתמש בחשבוניות פיקטיביות" אין לתת אישור ניכוי במקור ויש לידע את פקיד שומה חקירות ומשרדי מע"מ הרלוונטיים. </w:t>
      </w:r>
      <w:r w:rsidR="00F53908">
        <w:rPr>
          <w:rFonts w:ascii="Arial" w:hAnsi="Arial" w:hint="cs"/>
          <w:noProof w:val="0"/>
          <w:rtl/>
        </w:rPr>
        <w:t xml:space="preserve">בסעיף 18.1 </w:t>
      </w:r>
      <w:r w:rsidR="00132EFF">
        <w:rPr>
          <w:rFonts w:ascii="Arial" w:hAnsi="Arial" w:hint="cs"/>
          <w:noProof w:val="0"/>
          <w:rtl/>
        </w:rPr>
        <w:t>ל</w:t>
      </w:r>
      <w:r w:rsidR="00F53908">
        <w:rPr>
          <w:rFonts w:ascii="Arial" w:hAnsi="Arial" w:hint="cs"/>
          <w:noProof w:val="0"/>
          <w:rtl/>
        </w:rPr>
        <w:t>הוראת הביצוע נקבע</w:t>
      </w:r>
      <w:r w:rsidR="00132EFF">
        <w:rPr>
          <w:rFonts w:ascii="Arial" w:hAnsi="Arial" w:hint="cs"/>
          <w:noProof w:val="0"/>
          <w:rtl/>
        </w:rPr>
        <w:t xml:space="preserve"> כי</w:t>
      </w:r>
      <w:r w:rsidR="00F53908">
        <w:rPr>
          <w:rFonts w:ascii="Arial" w:hAnsi="Arial" w:hint="cs"/>
          <w:noProof w:val="0"/>
          <w:rtl/>
        </w:rPr>
        <w:t xml:space="preserve"> רשות המיסים מפעילה מהלכים לשלילת אישורים על פטור/הקטנה מניכוי מס במקור מעסקים שיש חשד שהם מעורבים בהפצת חשבוניות פיקטיביות. בסעיף 18.2 להוראת הביצוע נכתב כי פותחה "מערכת סיכולים" בניסיון לסכל באופן מידי את תופעת השימוש בחשבוניות פיקטיביות, המרכזת מידע על תיקים המקיימים פרמטרים מסוימים, העשויים להעיד בסבירות גבוהה שמדובר בעוסק שמפיץ ו/או </w:t>
      </w:r>
      <w:r w:rsidR="0018560D">
        <w:rPr>
          <w:rFonts w:ascii="Arial" w:hAnsi="Arial" w:hint="cs"/>
          <w:noProof w:val="0"/>
          <w:rtl/>
        </w:rPr>
        <w:t xml:space="preserve">מקזז חשבוניות פיקטיביות. </w:t>
      </w:r>
    </w:p>
    <w:p w:rsidR="003B7BFD" w:rsidRDefault="003B7BFD" w:rsidP="003B7BFD">
      <w:pPr>
        <w:pStyle w:val="ad"/>
        <w:spacing w:line="360" w:lineRule="auto"/>
        <w:jc w:val="both"/>
        <w:rPr>
          <w:rFonts w:ascii="Arial" w:hAnsi="Arial"/>
          <w:noProof w:val="0"/>
        </w:rPr>
      </w:pPr>
    </w:p>
    <w:p w:rsidR="003B7BFD" w:rsidRDefault="003B7BFD" w:rsidP="003B7BFD">
      <w:pPr>
        <w:pStyle w:val="ad"/>
        <w:numPr>
          <w:ilvl w:val="0"/>
          <w:numId w:val="1"/>
        </w:numPr>
        <w:spacing w:line="360" w:lineRule="auto"/>
        <w:jc w:val="both"/>
        <w:rPr>
          <w:rFonts w:ascii="Arial" w:hAnsi="Arial"/>
          <w:noProof w:val="0"/>
        </w:rPr>
      </w:pPr>
      <w:r>
        <w:rPr>
          <w:rFonts w:ascii="Arial" w:hAnsi="Arial" w:hint="cs"/>
          <w:noProof w:val="0"/>
          <w:rtl/>
        </w:rPr>
        <w:t xml:space="preserve">סבורני כי הממצאים שעלו לגבי התנהלות המבקשת ובעלי מניותיה אשר פורטו </w:t>
      </w:r>
      <w:r w:rsidR="00132EFF">
        <w:rPr>
          <w:rFonts w:ascii="Arial" w:hAnsi="Arial" w:hint="cs"/>
          <w:noProof w:val="0"/>
          <w:rtl/>
        </w:rPr>
        <w:t xml:space="preserve">בפסקה 9 </w:t>
      </w:r>
      <w:r>
        <w:rPr>
          <w:rFonts w:ascii="Arial" w:hAnsi="Arial" w:hint="cs"/>
          <w:noProof w:val="0"/>
          <w:rtl/>
        </w:rPr>
        <w:t>לעיל</w:t>
      </w:r>
      <w:r w:rsidR="00132EFF">
        <w:rPr>
          <w:rFonts w:ascii="Arial" w:hAnsi="Arial" w:hint="cs"/>
          <w:noProof w:val="0"/>
          <w:rtl/>
        </w:rPr>
        <w:t>,</w:t>
      </w:r>
      <w:r>
        <w:rPr>
          <w:rFonts w:ascii="Arial" w:hAnsi="Arial" w:hint="cs"/>
          <w:noProof w:val="0"/>
          <w:rtl/>
        </w:rPr>
        <w:t xml:space="preserve"> מצדיקים את החלטת המשיב בדבר שיעור הניכוי במקור. בבקשה לסעד זמני המבקשת אינה מתמודדת עם הממצאים הלכאוריים שפורטו על ידי המשיב. התצהיר שצורף לבקשה הינו תצהיר קצרצר (חצי עמוד) שאין בו כל התייחסות לספקים הנוגעים לעניין וכל התייחסות לממצאים שפורטו לעיל. </w:t>
      </w:r>
      <w:r w:rsidR="00132EFF">
        <w:rPr>
          <w:rFonts w:ascii="Arial" w:hAnsi="Arial" w:hint="cs"/>
          <w:noProof w:val="0"/>
          <w:rtl/>
        </w:rPr>
        <w:t xml:space="preserve">כמו כן, </w:t>
      </w:r>
      <w:r w:rsidR="002A500B">
        <w:rPr>
          <w:rFonts w:ascii="Arial" w:hAnsi="Arial" w:hint="cs"/>
          <w:noProof w:val="0"/>
          <w:rtl/>
        </w:rPr>
        <w:t xml:space="preserve">אין בתצהיר כל התייחסות לדרישה להמצאת מסמכים מיום 12.8.24 שנשלחה למבקשת על ידי המשיב ואף לא נכללה בתצהיר כל התייחסות מדוע המבקשת לא נענתה לדרישה הנ"ל, באופן מלא או חלקי. </w:t>
      </w:r>
    </w:p>
    <w:p w:rsidR="002A500B" w:rsidRPr="002A500B" w:rsidRDefault="002A500B" w:rsidP="002A500B">
      <w:pPr>
        <w:pStyle w:val="ad"/>
        <w:rPr>
          <w:rFonts w:ascii="Arial" w:hAnsi="Arial"/>
          <w:noProof w:val="0"/>
          <w:rtl/>
        </w:rPr>
      </w:pPr>
    </w:p>
    <w:p w:rsidR="002A500B" w:rsidRDefault="002A500B" w:rsidP="00132EFF">
      <w:pPr>
        <w:pStyle w:val="ad"/>
        <w:numPr>
          <w:ilvl w:val="0"/>
          <w:numId w:val="1"/>
        </w:numPr>
        <w:spacing w:line="360" w:lineRule="auto"/>
        <w:jc w:val="both"/>
        <w:rPr>
          <w:rFonts w:ascii="Arial" w:hAnsi="Arial"/>
          <w:noProof w:val="0"/>
        </w:rPr>
      </w:pPr>
      <w:r>
        <w:rPr>
          <w:rFonts w:ascii="Arial" w:hAnsi="Arial" w:hint="cs"/>
          <w:noProof w:val="0"/>
          <w:rtl/>
        </w:rPr>
        <w:t xml:space="preserve">בדיון שהתקיים </w:t>
      </w:r>
      <w:r w:rsidR="00132EFF">
        <w:rPr>
          <w:rFonts w:ascii="Arial" w:hAnsi="Arial" w:hint="cs"/>
          <w:noProof w:val="0"/>
          <w:rtl/>
        </w:rPr>
        <w:t>ב</w:t>
      </w:r>
      <w:r>
        <w:rPr>
          <w:rFonts w:ascii="Arial" w:hAnsi="Arial" w:hint="cs"/>
          <w:noProof w:val="0"/>
          <w:rtl/>
        </w:rPr>
        <w:t>יום</w:t>
      </w:r>
      <w:r w:rsidR="00132EFF">
        <w:rPr>
          <w:rFonts w:ascii="Arial" w:hAnsi="Arial" w:hint="cs"/>
          <w:noProof w:val="0"/>
          <w:rtl/>
        </w:rPr>
        <w:t xml:space="preserve"> 25.9.24 </w:t>
      </w:r>
      <w:r>
        <w:rPr>
          <w:rFonts w:ascii="Arial" w:hAnsi="Arial" w:hint="cs"/>
          <w:noProof w:val="0"/>
          <w:rtl/>
        </w:rPr>
        <w:t xml:space="preserve">ביקשו ב"כ המבקשת לצרף דווח רווח </w:t>
      </w:r>
      <w:r w:rsidR="00765F91">
        <w:rPr>
          <w:rFonts w:ascii="Arial" w:hAnsi="Arial" w:hint="cs"/>
          <w:noProof w:val="0"/>
          <w:rtl/>
        </w:rPr>
        <w:t xml:space="preserve">והפסד של המבקשת לשנת 2024, נסח מידע הנוגע לספק </w:t>
      </w:r>
      <w:proofErr w:type="spellStart"/>
      <w:r w:rsidR="00765F91">
        <w:rPr>
          <w:rFonts w:ascii="Arial" w:hAnsi="Arial" w:hint="cs"/>
          <w:noProof w:val="0"/>
          <w:rtl/>
        </w:rPr>
        <w:t>ר.ח.ל</w:t>
      </w:r>
      <w:proofErr w:type="spellEnd"/>
      <w:r w:rsidR="00765F91">
        <w:rPr>
          <w:rFonts w:ascii="Arial" w:hAnsi="Arial" w:hint="cs"/>
          <w:noProof w:val="0"/>
          <w:rtl/>
        </w:rPr>
        <w:t xml:space="preserve"> יעוץ עסקי אישי בע"מ וכן הסכם העברת מניות בחברה זו. לא ניתן הסבר משכנע מדוע מסמכים אלו לא צורפו לבקשה או לתצהיר התומך בבקשה ויש בניסיון זה משום מעט מדי ומאוחר מדי. </w:t>
      </w:r>
    </w:p>
    <w:p w:rsidR="00765F91" w:rsidRPr="00765F91" w:rsidRDefault="00765F91" w:rsidP="00765F91">
      <w:pPr>
        <w:pStyle w:val="ad"/>
        <w:rPr>
          <w:rFonts w:ascii="Arial" w:hAnsi="Arial"/>
          <w:noProof w:val="0"/>
          <w:rtl/>
        </w:rPr>
      </w:pPr>
    </w:p>
    <w:p w:rsidR="00765F91" w:rsidRDefault="00765F91" w:rsidP="00132EFF">
      <w:pPr>
        <w:pStyle w:val="ad"/>
        <w:numPr>
          <w:ilvl w:val="0"/>
          <w:numId w:val="1"/>
        </w:numPr>
        <w:spacing w:line="360" w:lineRule="auto"/>
        <w:jc w:val="both"/>
        <w:rPr>
          <w:rFonts w:ascii="Arial" w:hAnsi="Arial"/>
          <w:noProof w:val="0"/>
        </w:rPr>
      </w:pPr>
      <w:r>
        <w:rPr>
          <w:rFonts w:ascii="Arial" w:hAnsi="Arial" w:hint="cs"/>
          <w:noProof w:val="0"/>
          <w:rtl/>
        </w:rPr>
        <w:t>מבחינת מאזן הנוחות, לא ניתן לקבל את טענת המבקשת</w:t>
      </w:r>
      <w:r w:rsidR="00132EFF">
        <w:rPr>
          <w:rFonts w:ascii="Arial" w:hAnsi="Arial" w:hint="cs"/>
          <w:noProof w:val="0"/>
          <w:rtl/>
        </w:rPr>
        <w:t>,</w:t>
      </w:r>
      <w:r>
        <w:rPr>
          <w:rFonts w:ascii="Arial" w:hAnsi="Arial" w:hint="cs"/>
          <w:noProof w:val="0"/>
          <w:rtl/>
        </w:rPr>
        <w:t xml:space="preserve"> כאילו אין במתן הסעד הזמני משום גרימת נזק כלשהו למשיב. </w:t>
      </w:r>
      <w:r w:rsidR="00CD2774">
        <w:rPr>
          <w:rFonts w:ascii="Arial" w:hAnsi="Arial" w:hint="cs"/>
          <w:noProof w:val="0"/>
          <w:rtl/>
        </w:rPr>
        <w:t xml:space="preserve">מתן הסעד הזמני עלול להכשיל את מטרת מנגנון הניכוי מס במקור, שהיא </w:t>
      </w:r>
      <w:r w:rsidR="00132EFF">
        <w:rPr>
          <w:rFonts w:ascii="Arial" w:hAnsi="Arial" w:hint="cs"/>
          <w:noProof w:val="0"/>
          <w:rtl/>
        </w:rPr>
        <w:t>ה</w:t>
      </w:r>
      <w:r w:rsidR="00CD2774">
        <w:rPr>
          <w:rFonts w:ascii="Arial" w:hAnsi="Arial" w:hint="cs"/>
          <w:noProof w:val="0"/>
          <w:rtl/>
        </w:rPr>
        <w:t xml:space="preserve">בטחת תשלום המס בסמוך לקבלת התקבול. אם המשיב ימתין, כפי שהציעו ב"כ המבקשת, עד שתצא </w:t>
      </w:r>
      <w:r w:rsidR="00F651D3">
        <w:rPr>
          <w:rFonts w:ascii="Arial" w:hAnsi="Arial" w:hint="cs"/>
          <w:noProof w:val="0"/>
          <w:rtl/>
        </w:rPr>
        <w:t xml:space="preserve">שומת תשומות, עד שתוגש השגה על השומה, עד שתינתן החלטה בהשגה ועד </w:t>
      </w:r>
      <w:r w:rsidR="001D019F">
        <w:rPr>
          <w:rFonts w:ascii="Arial" w:hAnsi="Arial" w:hint="cs"/>
          <w:noProof w:val="0"/>
          <w:rtl/>
        </w:rPr>
        <w:t>שיינת</w:t>
      </w:r>
      <w:r w:rsidR="001D019F">
        <w:rPr>
          <w:rFonts w:ascii="Arial" w:hAnsi="Arial" w:hint="eastAsia"/>
          <w:noProof w:val="0"/>
          <w:rtl/>
        </w:rPr>
        <w:t>ן</w:t>
      </w:r>
      <w:r w:rsidR="00F651D3">
        <w:rPr>
          <w:rFonts w:ascii="Arial" w:hAnsi="Arial" w:hint="cs"/>
          <w:noProof w:val="0"/>
          <w:rtl/>
        </w:rPr>
        <w:t xml:space="preserve"> פסק דין בערעור על ההחלטה בהשגה, בהחלט יכול להיווצר מצב שהמס במקור שיגבה (על פי אישור לפי 1%) לא יכסה את המס שיהיה על המבקשת לשלם לאחר הגשת הדוחות השנתיים למס הכנסה ואף יכול להיווצר מצב שחוב המס, הנובע מן ההפרש, לא יגבה בפועל ובכך יגרם נזק לקופה הציבורית. </w:t>
      </w:r>
    </w:p>
    <w:p w:rsidR="00F651D3" w:rsidRPr="00F651D3" w:rsidRDefault="00F651D3" w:rsidP="00F651D3">
      <w:pPr>
        <w:pStyle w:val="ad"/>
        <w:rPr>
          <w:rFonts w:ascii="Arial" w:hAnsi="Arial"/>
          <w:noProof w:val="0"/>
          <w:rtl/>
        </w:rPr>
      </w:pPr>
    </w:p>
    <w:p w:rsidR="00F56FE6" w:rsidRDefault="00F56FE6" w:rsidP="008909A1">
      <w:pPr>
        <w:pStyle w:val="ad"/>
        <w:numPr>
          <w:ilvl w:val="0"/>
          <w:numId w:val="1"/>
        </w:numPr>
        <w:spacing w:line="360" w:lineRule="auto"/>
        <w:jc w:val="both"/>
        <w:rPr>
          <w:rFonts w:ascii="Arial" w:hAnsi="Arial"/>
          <w:noProof w:val="0"/>
        </w:rPr>
      </w:pPr>
      <w:r>
        <w:rPr>
          <w:rFonts w:ascii="Arial" w:hAnsi="Arial" w:hint="cs"/>
          <w:noProof w:val="0"/>
          <w:rtl/>
        </w:rPr>
        <w:t>כדי להצליח בבקשה לסעד זמני, על המבקשת להראות כי סיכויי התובענה טובים וכי מאזן הנוחות נוטה לטובתה. בין שני שיקולים אלה קיים יחס של "מקבילית כוחות", כפי שהוסבר, למשל</w:t>
      </w:r>
      <w:r w:rsidRPr="006523C1">
        <w:rPr>
          <w:rFonts w:ascii="Arial" w:hAnsi="Arial" w:hint="cs"/>
          <w:noProof w:val="0"/>
          <w:rtl/>
        </w:rPr>
        <w:t xml:space="preserve">, </w:t>
      </w:r>
      <w:proofErr w:type="spellStart"/>
      <w:r w:rsidRPr="006523C1">
        <w:rPr>
          <w:rFonts w:ascii="Arial" w:hAnsi="Arial" w:hint="cs"/>
          <w:noProof w:val="0"/>
          <w:rtl/>
        </w:rPr>
        <w:t>ברע"א</w:t>
      </w:r>
      <w:proofErr w:type="spellEnd"/>
      <w:r w:rsidR="001D019F">
        <w:rPr>
          <w:rFonts w:ascii="Arial" w:hAnsi="Arial" w:hint="cs"/>
          <w:noProof w:val="0"/>
          <w:rtl/>
        </w:rPr>
        <w:t xml:space="preserve"> 4086/18</w:t>
      </w:r>
      <w:r w:rsidRPr="00612A05">
        <w:rPr>
          <w:rFonts w:ascii="Arial" w:hAnsi="Arial" w:hint="cs"/>
          <w:b/>
          <w:bCs/>
          <w:noProof w:val="0"/>
          <w:rtl/>
        </w:rPr>
        <w:t xml:space="preserve"> </w:t>
      </w:r>
      <w:proofErr w:type="spellStart"/>
      <w:r w:rsidRPr="00612A05">
        <w:rPr>
          <w:rFonts w:ascii="Arial" w:hAnsi="Arial" w:hint="cs"/>
          <w:b/>
          <w:bCs/>
          <w:noProof w:val="0"/>
          <w:rtl/>
        </w:rPr>
        <w:t>קוטינה</w:t>
      </w:r>
      <w:proofErr w:type="spellEnd"/>
      <w:r w:rsidRPr="00612A05">
        <w:rPr>
          <w:rFonts w:ascii="Arial" w:hAnsi="Arial" w:hint="cs"/>
          <w:b/>
          <w:bCs/>
          <w:noProof w:val="0"/>
          <w:rtl/>
        </w:rPr>
        <w:t xml:space="preserve"> נ' נביל סיאם</w:t>
      </w:r>
      <w:r>
        <w:rPr>
          <w:rFonts w:ascii="Arial" w:hAnsi="Arial" w:hint="cs"/>
          <w:noProof w:val="0"/>
          <w:rtl/>
        </w:rPr>
        <w:t xml:space="preserve"> (25.6.18)</w:t>
      </w:r>
      <w:r w:rsidR="008909A1">
        <w:rPr>
          <w:rFonts w:ascii="Arial" w:hAnsi="Arial" w:hint="cs"/>
          <w:noProof w:val="0"/>
          <w:rtl/>
        </w:rPr>
        <w:t xml:space="preserve"> בפסקה 12</w:t>
      </w:r>
      <w:r>
        <w:rPr>
          <w:rFonts w:ascii="Arial" w:hAnsi="Arial" w:hint="cs"/>
          <w:noProof w:val="0"/>
          <w:rtl/>
        </w:rPr>
        <w:t xml:space="preserve">: </w:t>
      </w:r>
    </w:p>
    <w:p w:rsidR="00F56FE6" w:rsidRPr="008909A1" w:rsidRDefault="00F56FE6" w:rsidP="00F56FE6">
      <w:pPr>
        <w:pStyle w:val="ad"/>
        <w:rPr>
          <w:rFonts w:ascii="Arial" w:hAnsi="Arial"/>
          <w:noProof w:val="0"/>
          <w:rtl/>
        </w:rPr>
      </w:pPr>
    </w:p>
    <w:p w:rsidR="00F56FE6" w:rsidRPr="00F56FE6" w:rsidRDefault="00F56FE6" w:rsidP="008909A1">
      <w:pPr>
        <w:pStyle w:val="ad"/>
        <w:spacing w:line="360" w:lineRule="auto"/>
        <w:ind w:left="1440"/>
        <w:jc w:val="both"/>
        <w:rPr>
          <w:rFonts w:ascii="Arial" w:hAnsi="Arial"/>
          <w:b/>
          <w:bCs/>
          <w:noProof w:val="0"/>
        </w:rPr>
      </w:pPr>
      <w:r w:rsidRPr="00F56FE6">
        <w:rPr>
          <w:rFonts w:ascii="Arial" w:hAnsi="Arial" w:hint="cs"/>
          <w:b/>
          <w:bCs/>
          <w:noProof w:val="0"/>
          <w:rtl/>
        </w:rPr>
        <w:t>"כידוע, כאשר בית משפט נדרש להכריע בבקשה למתן סעד זמני, עליו לבחון קיומם של שני תנאים מצטברים: (א) סיכויי התביעה להתקבל הם גבוהים; (ב) מאזן הנוחות נוטה לטובת המבקש. בין שני התנאים הללו מתקיים יחס של מקבילית כוחות, לפיו ככל שסיכויי הערעור גבוהים יותר כך ניתן להקל בדרישת מאזן הנוחות, ולהיפ</w:t>
      </w:r>
      <w:r>
        <w:rPr>
          <w:rFonts w:ascii="Arial" w:hAnsi="Arial" w:hint="cs"/>
          <w:b/>
          <w:bCs/>
          <w:noProof w:val="0"/>
          <w:rtl/>
        </w:rPr>
        <w:t>ך</w:t>
      </w:r>
      <w:r w:rsidRPr="00F56FE6">
        <w:rPr>
          <w:rFonts w:ascii="Arial" w:hAnsi="Arial" w:hint="cs"/>
          <w:b/>
          <w:bCs/>
          <w:noProof w:val="0"/>
          <w:rtl/>
        </w:rPr>
        <w:t xml:space="preserve">. עם </w:t>
      </w:r>
      <w:r>
        <w:rPr>
          <w:rFonts w:ascii="Arial" w:hAnsi="Arial" w:hint="cs"/>
          <w:b/>
          <w:bCs/>
          <w:noProof w:val="0"/>
          <w:rtl/>
        </w:rPr>
        <w:t>זאת, מקובל לראות בשיקול</w:t>
      </w:r>
      <w:r w:rsidRPr="00F56FE6">
        <w:rPr>
          <w:rFonts w:ascii="Arial" w:hAnsi="Arial" w:hint="cs"/>
          <w:b/>
          <w:bCs/>
          <w:noProof w:val="0"/>
          <w:rtl/>
        </w:rPr>
        <w:t xml:space="preserve"> מאזן הנוחות כבעל מעמד בכורה (ע"א 1881/14 </w:t>
      </w:r>
      <w:proofErr w:type="spellStart"/>
      <w:r w:rsidRPr="00F56FE6">
        <w:rPr>
          <w:rFonts w:ascii="Arial" w:hAnsi="Arial" w:hint="cs"/>
          <w:b/>
          <w:bCs/>
          <w:noProof w:val="0"/>
          <w:rtl/>
        </w:rPr>
        <w:t>שומרז</w:t>
      </w:r>
      <w:proofErr w:type="spellEnd"/>
      <w:r w:rsidRPr="00F56FE6">
        <w:rPr>
          <w:rFonts w:ascii="Arial" w:hAnsi="Arial" w:hint="cs"/>
          <w:b/>
          <w:bCs/>
          <w:noProof w:val="0"/>
          <w:rtl/>
        </w:rPr>
        <w:t xml:space="preserve"> חברה לביטוח ופתוח בע"מ נ' </w:t>
      </w:r>
      <w:proofErr w:type="spellStart"/>
      <w:r w:rsidRPr="00F56FE6">
        <w:rPr>
          <w:rFonts w:ascii="Arial" w:hAnsi="Arial" w:hint="cs"/>
          <w:b/>
          <w:bCs/>
          <w:noProof w:val="0"/>
          <w:rtl/>
        </w:rPr>
        <w:t>שמריז</w:t>
      </w:r>
      <w:proofErr w:type="spellEnd"/>
      <w:r w:rsidRPr="00F56FE6">
        <w:rPr>
          <w:rFonts w:ascii="Arial" w:hAnsi="Arial" w:hint="cs"/>
          <w:b/>
          <w:bCs/>
          <w:noProof w:val="0"/>
          <w:rtl/>
        </w:rPr>
        <w:t xml:space="preserve">, [פורסם בנבו] פסקה 12 (13.4.2014); </w:t>
      </w:r>
      <w:r w:rsidRPr="00F56FE6">
        <w:rPr>
          <w:rFonts w:ascii="Arial" w:hAnsi="Arial" w:hint="cs"/>
          <w:b/>
          <w:bCs/>
          <w:noProof w:val="0"/>
          <w:u w:val="single"/>
          <w:rtl/>
        </w:rPr>
        <w:t>ע"א 5432/16</w:t>
      </w:r>
      <w:r w:rsidRPr="00F56FE6">
        <w:rPr>
          <w:rFonts w:ascii="Arial" w:hAnsi="Arial" w:hint="cs"/>
          <w:b/>
          <w:bCs/>
          <w:noProof w:val="0"/>
          <w:rtl/>
        </w:rPr>
        <w:t xml:space="preserve"> סמואל נ' אליהו, [פורסם בנבו] פסקה 13 (18.1.2017)).</w:t>
      </w:r>
      <w:r w:rsidR="008909A1">
        <w:rPr>
          <w:rFonts w:ascii="Arial" w:hAnsi="Arial" w:hint="cs"/>
          <w:b/>
          <w:bCs/>
          <w:noProof w:val="0"/>
          <w:rtl/>
        </w:rPr>
        <w:t>.. תכליתם הכללית של מבחנים אלה היא מזעור הנזקים העשויים להיגרם מהחלטה שתתברר בדיעבד, לאור ההכרעה הסופית בעניין, כמוטעית.</w:t>
      </w:r>
      <w:r w:rsidRPr="00F56FE6">
        <w:rPr>
          <w:rFonts w:ascii="Arial" w:hAnsi="Arial" w:hint="cs"/>
          <w:b/>
          <w:bCs/>
          <w:noProof w:val="0"/>
          <w:rtl/>
        </w:rPr>
        <w:t>"</w:t>
      </w:r>
    </w:p>
    <w:p w:rsidR="00F56FE6" w:rsidRPr="008909A1" w:rsidRDefault="00F56FE6" w:rsidP="00F56FE6">
      <w:pPr>
        <w:pStyle w:val="ad"/>
        <w:rPr>
          <w:rFonts w:ascii="Arial" w:hAnsi="Arial"/>
          <w:noProof w:val="0"/>
          <w:rtl/>
        </w:rPr>
      </w:pPr>
    </w:p>
    <w:p w:rsidR="00F56FE6" w:rsidRDefault="008909A1" w:rsidP="00612A05">
      <w:pPr>
        <w:pStyle w:val="ad"/>
        <w:numPr>
          <w:ilvl w:val="0"/>
          <w:numId w:val="1"/>
        </w:numPr>
        <w:spacing w:line="360" w:lineRule="auto"/>
        <w:jc w:val="both"/>
        <w:rPr>
          <w:rFonts w:ascii="Arial" w:hAnsi="Arial"/>
          <w:noProof w:val="0"/>
        </w:rPr>
      </w:pPr>
      <w:r>
        <w:rPr>
          <w:rFonts w:ascii="Arial" w:hAnsi="Arial" w:hint="cs"/>
          <w:noProof w:val="0"/>
          <w:rtl/>
        </w:rPr>
        <w:t>זאת ועוד, על בית המשפט לנקוט משנ</w:t>
      </w:r>
      <w:r w:rsidR="00612A05">
        <w:rPr>
          <w:rFonts w:ascii="Arial" w:hAnsi="Arial" w:hint="cs"/>
          <w:noProof w:val="0"/>
          <w:rtl/>
        </w:rPr>
        <w:t>ה</w:t>
      </w:r>
      <w:r>
        <w:rPr>
          <w:rFonts w:ascii="Arial" w:hAnsi="Arial" w:hint="cs"/>
          <w:noProof w:val="0"/>
          <w:rtl/>
        </w:rPr>
        <w:t xml:space="preserve"> זהירות בטרם יורה על מתן צו עשה זמני, בפרט כזה המשנה מצב קיים, כפי שהוסבר, למשל, </w:t>
      </w:r>
      <w:proofErr w:type="spellStart"/>
      <w:r>
        <w:rPr>
          <w:rFonts w:ascii="Arial" w:hAnsi="Arial" w:hint="cs"/>
          <w:noProof w:val="0"/>
          <w:rtl/>
        </w:rPr>
        <w:t>ברע"א</w:t>
      </w:r>
      <w:proofErr w:type="spellEnd"/>
      <w:r>
        <w:rPr>
          <w:rFonts w:ascii="Arial" w:hAnsi="Arial" w:hint="cs"/>
          <w:noProof w:val="0"/>
          <w:rtl/>
        </w:rPr>
        <w:t xml:space="preserve"> 6252/23 </w:t>
      </w:r>
      <w:r w:rsidRPr="00612A05">
        <w:rPr>
          <w:rFonts w:ascii="Arial" w:hAnsi="Arial" w:hint="cs"/>
          <w:b/>
          <w:bCs/>
          <w:noProof w:val="0"/>
          <w:rtl/>
        </w:rPr>
        <w:t>נאות אט-ייזום ובניה בע"מ נ' אליהו גאון</w:t>
      </w:r>
      <w:r>
        <w:rPr>
          <w:rFonts w:ascii="Arial" w:hAnsi="Arial" w:hint="cs"/>
          <w:noProof w:val="0"/>
          <w:rtl/>
        </w:rPr>
        <w:t xml:space="preserve"> (7.12.23) בפסקה 9</w:t>
      </w:r>
      <w:r w:rsidR="004956AB">
        <w:rPr>
          <w:rFonts w:ascii="Arial" w:hAnsi="Arial" w:hint="cs"/>
          <w:noProof w:val="0"/>
          <w:rtl/>
        </w:rPr>
        <w:t xml:space="preserve"> (להלן: "</w:t>
      </w:r>
      <w:r w:rsidR="004956AB" w:rsidRPr="004956AB">
        <w:rPr>
          <w:rFonts w:ascii="Arial" w:hAnsi="Arial" w:hint="cs"/>
          <w:b/>
          <w:bCs/>
          <w:noProof w:val="0"/>
          <w:rtl/>
        </w:rPr>
        <w:t>עניין נאות אט</w:t>
      </w:r>
      <w:r w:rsidR="004956AB">
        <w:rPr>
          <w:rFonts w:ascii="Arial" w:hAnsi="Arial" w:hint="cs"/>
          <w:noProof w:val="0"/>
          <w:rtl/>
        </w:rPr>
        <w:t>")</w:t>
      </w:r>
      <w:r>
        <w:rPr>
          <w:rFonts w:ascii="Arial" w:hAnsi="Arial" w:hint="cs"/>
          <w:noProof w:val="0"/>
          <w:rtl/>
        </w:rPr>
        <w:t>:</w:t>
      </w:r>
    </w:p>
    <w:p w:rsidR="000A2CBE" w:rsidRDefault="000A2CBE" w:rsidP="004956AB">
      <w:pPr>
        <w:pStyle w:val="ad"/>
        <w:spacing w:line="360" w:lineRule="auto"/>
        <w:jc w:val="both"/>
        <w:rPr>
          <w:rFonts w:ascii="Arial" w:hAnsi="Arial"/>
          <w:noProof w:val="0"/>
        </w:rPr>
      </w:pPr>
    </w:p>
    <w:p w:rsidR="008909A1" w:rsidRDefault="008909A1" w:rsidP="000A2CBE">
      <w:pPr>
        <w:pStyle w:val="ad"/>
        <w:spacing w:line="360" w:lineRule="auto"/>
        <w:ind w:left="1440"/>
        <w:jc w:val="both"/>
        <w:rPr>
          <w:rFonts w:ascii="Arial" w:hAnsi="Arial"/>
          <w:b/>
          <w:bCs/>
          <w:noProof w:val="0"/>
          <w:rtl/>
        </w:rPr>
      </w:pPr>
      <w:r>
        <w:rPr>
          <w:rFonts w:ascii="Arial" w:hAnsi="Arial" w:hint="cs"/>
          <w:b/>
          <w:bCs/>
          <w:noProof w:val="0"/>
          <w:rtl/>
        </w:rPr>
        <w:t>"בית משפט ינקוט משנה זהירות בטרם יורה על מתן צו עשה זמני, בפרט כזה המשנה מצב קיים, זאת לנוכח הפגיעה הפוטנציאלית בזכויות הנתבע הכרוכה במתן הסעד. סעד שכזה יינתן רק במקרים חריגים ביותר, בהם מצא בית המשפט כי נדרשת התערבות על מנת למנוע תוצאה קשה ביותר, וכי בהיעדר ההתערבות ייגרם למבקש הסעד נזק משמעותי שאינו בר פיצוי (</w:t>
      </w:r>
      <w:r>
        <w:rPr>
          <w:rFonts w:ascii="Arial" w:hAnsi="Arial" w:hint="cs"/>
          <w:b/>
          <w:bCs/>
          <w:noProof w:val="0"/>
          <w:u w:val="single"/>
          <w:rtl/>
        </w:rPr>
        <w:t>רע"א 2071/21</w:t>
      </w:r>
      <w:r>
        <w:rPr>
          <w:rFonts w:ascii="Arial" w:hAnsi="Arial" w:hint="cs"/>
          <w:b/>
          <w:bCs/>
          <w:noProof w:val="0"/>
          <w:rtl/>
        </w:rPr>
        <w:t xml:space="preserve"> </w:t>
      </w:r>
      <w:r w:rsidR="000A2CBE">
        <w:rPr>
          <w:rFonts w:ascii="Arial" w:hAnsi="Arial" w:hint="cs"/>
          <w:b/>
          <w:bCs/>
          <w:noProof w:val="0"/>
          <w:rtl/>
        </w:rPr>
        <w:t xml:space="preserve">חצרי אלף בית דוד המלך בע"מ נ' אזורים בניין (1965) בע"מ, פסקה 17 [פורסם בנבו] (13.7.2021); </w:t>
      </w:r>
      <w:r w:rsidR="000A2CBE" w:rsidRPr="000A2CBE">
        <w:rPr>
          <w:rFonts w:ascii="Arial" w:hAnsi="Arial" w:hint="cs"/>
          <w:b/>
          <w:bCs/>
          <w:noProof w:val="0"/>
          <w:u w:val="single"/>
          <w:rtl/>
        </w:rPr>
        <w:t>רע"א 8721/21</w:t>
      </w:r>
      <w:r w:rsidR="000A2CBE">
        <w:rPr>
          <w:rFonts w:ascii="Arial" w:hAnsi="Arial" w:hint="cs"/>
          <w:b/>
          <w:bCs/>
          <w:noProof w:val="0"/>
          <w:rtl/>
        </w:rPr>
        <w:t xml:space="preserve"> מכללת באקה נ' המועצה להשכלה גבוהה, פסקה 13 [פורסם בנבו] (22.12.2021)). לדברים האמורים משנה תוקף כאשר מדובר בסעד זמני החופף לסעד העיקרי שהתבקש בתביעה, שכן ככלל אין מקום להידרש במסגרת ההליכים המקדמיים להכרעה בשאלה המצויה במרכזו של ההליך העיקרי (</w:t>
      </w:r>
      <w:r w:rsidR="000A2CBE" w:rsidRPr="000A2CBE">
        <w:rPr>
          <w:rFonts w:ascii="Arial" w:hAnsi="Arial" w:hint="cs"/>
          <w:b/>
          <w:bCs/>
          <w:noProof w:val="0"/>
          <w:u w:val="single"/>
          <w:rtl/>
        </w:rPr>
        <w:t>רע"א 1378/23</w:t>
      </w:r>
      <w:r w:rsidR="000A2CBE">
        <w:rPr>
          <w:rFonts w:ascii="Arial" w:hAnsi="Arial" w:hint="cs"/>
          <w:b/>
          <w:bCs/>
          <w:noProof w:val="0"/>
          <w:rtl/>
        </w:rPr>
        <w:t xml:space="preserve"> מלייב נ' </w:t>
      </w:r>
      <w:proofErr w:type="spellStart"/>
      <w:r w:rsidR="000A2CBE">
        <w:rPr>
          <w:rFonts w:ascii="Arial" w:hAnsi="Arial" w:hint="cs"/>
          <w:b/>
          <w:bCs/>
          <w:noProof w:val="0"/>
          <w:rtl/>
        </w:rPr>
        <w:t>סייקל</w:t>
      </w:r>
      <w:proofErr w:type="spellEnd"/>
      <w:r w:rsidR="000A2CBE">
        <w:rPr>
          <w:rFonts w:ascii="Arial" w:hAnsi="Arial" w:hint="cs"/>
          <w:b/>
          <w:bCs/>
          <w:noProof w:val="0"/>
          <w:rtl/>
        </w:rPr>
        <w:t xml:space="preserve"> כלכלה מעגלית למכלי משקה בע"מ, פסקה 10 [פורסם בנבו] (2.4.2023); </w:t>
      </w:r>
      <w:r w:rsidR="000A2CBE" w:rsidRPr="000A2CBE">
        <w:rPr>
          <w:rFonts w:ascii="Arial" w:hAnsi="Arial" w:hint="cs"/>
          <w:b/>
          <w:bCs/>
          <w:noProof w:val="0"/>
          <w:u w:val="single"/>
          <w:rtl/>
        </w:rPr>
        <w:t>רע"א 7696/19</w:t>
      </w:r>
      <w:r w:rsidR="000A2CBE">
        <w:rPr>
          <w:rFonts w:ascii="Arial" w:hAnsi="Arial" w:hint="cs"/>
          <w:b/>
          <w:bCs/>
          <w:noProof w:val="0"/>
          <w:rtl/>
        </w:rPr>
        <w:t xml:space="preserve"> ההתאחדות לכדורגל בישראל נ' עירוני מודיעין העמותה העירונית לספורט מודיעין מכבים רעות, פסקה 9 [פורסם בנבו] (25.11.2019))</w:t>
      </w:r>
      <w:r w:rsidR="004956AB">
        <w:rPr>
          <w:rFonts w:ascii="Arial" w:hAnsi="Arial" w:hint="cs"/>
          <w:b/>
          <w:bCs/>
          <w:noProof w:val="0"/>
          <w:rtl/>
        </w:rPr>
        <w:t>."</w:t>
      </w:r>
    </w:p>
    <w:p w:rsidR="00F56FE6" w:rsidRDefault="00F56FE6" w:rsidP="004956AB">
      <w:pPr>
        <w:spacing w:line="360" w:lineRule="auto"/>
        <w:ind w:left="360"/>
        <w:jc w:val="both"/>
        <w:rPr>
          <w:rFonts w:ascii="Arial" w:hAnsi="Arial"/>
          <w:noProof w:val="0"/>
          <w:rtl/>
        </w:rPr>
      </w:pPr>
    </w:p>
    <w:p w:rsidR="004956AB" w:rsidRDefault="00222260" w:rsidP="006523C1">
      <w:pPr>
        <w:pStyle w:val="ad"/>
        <w:numPr>
          <w:ilvl w:val="0"/>
          <w:numId w:val="1"/>
        </w:numPr>
        <w:spacing w:line="360" w:lineRule="auto"/>
        <w:jc w:val="both"/>
        <w:rPr>
          <w:rFonts w:ascii="Arial" w:hAnsi="Arial"/>
          <w:noProof w:val="0"/>
        </w:rPr>
      </w:pPr>
      <w:r>
        <w:rPr>
          <w:rFonts w:ascii="Arial" w:hAnsi="Arial" w:hint="cs"/>
          <w:noProof w:val="0"/>
          <w:rtl/>
        </w:rPr>
        <w:t>הואיל ו</w:t>
      </w:r>
      <w:r w:rsidR="004956AB">
        <w:rPr>
          <w:rFonts w:ascii="Arial" w:hAnsi="Arial" w:hint="cs"/>
          <w:noProof w:val="0"/>
          <w:rtl/>
        </w:rPr>
        <w:t xml:space="preserve">מדובר בבקשה למתן צו עשה המשנה מצב קיים וזהה לסעד הסופי המבוקש בתביעה, היה על המבקשת לעמוד בנטל  מוגבר לעניין מאזן הנוחות, במובן זה שמוטל היה עליה להוכיח כי במאזן הנזקים הכולל העלול להיגרם לצדדים, </w:t>
      </w:r>
      <w:r>
        <w:rPr>
          <w:rFonts w:ascii="Arial" w:hAnsi="Arial" w:hint="cs"/>
          <w:noProof w:val="0"/>
          <w:rtl/>
        </w:rPr>
        <w:t xml:space="preserve">נוטה הכף </w:t>
      </w:r>
      <w:r w:rsidR="004956AB">
        <w:rPr>
          <w:rFonts w:ascii="Arial" w:hAnsi="Arial" w:hint="cs"/>
          <w:noProof w:val="0"/>
          <w:rtl/>
        </w:rPr>
        <w:t xml:space="preserve">באופן מובהק לטובתה (עניין נאות אט, פסקה 10). </w:t>
      </w:r>
    </w:p>
    <w:p w:rsidR="00B81920" w:rsidRDefault="00B81920" w:rsidP="00B81920">
      <w:pPr>
        <w:pStyle w:val="ad"/>
        <w:spacing w:line="360" w:lineRule="auto"/>
        <w:jc w:val="both"/>
        <w:rPr>
          <w:rFonts w:ascii="Arial" w:hAnsi="Arial"/>
          <w:noProof w:val="0"/>
        </w:rPr>
      </w:pPr>
    </w:p>
    <w:p w:rsidR="00F56FE6" w:rsidRDefault="004956AB" w:rsidP="00222260">
      <w:pPr>
        <w:pStyle w:val="ad"/>
        <w:numPr>
          <w:ilvl w:val="0"/>
          <w:numId w:val="1"/>
        </w:numPr>
        <w:spacing w:line="360" w:lineRule="auto"/>
        <w:jc w:val="both"/>
        <w:rPr>
          <w:rFonts w:ascii="Arial" w:hAnsi="Arial"/>
          <w:noProof w:val="0"/>
        </w:rPr>
      </w:pPr>
      <w:r>
        <w:rPr>
          <w:rFonts w:ascii="Arial" w:hAnsi="Arial" w:hint="cs"/>
          <w:noProof w:val="0"/>
          <w:rtl/>
        </w:rPr>
        <w:t xml:space="preserve">לעניין סיכויי התביעה, אומר בזהירות כי לא התרשמתי שמדובר בסיכויים טובים, לאור העדר התייחסות קונקרטית מצד המבקשת לממצאים שפורטו על ידי המשיב, אשר הובילו אותו לקבלת ההחלטה. לעניין מאזן הנוחות, קיימת הצדקה להעניק סעד זמני שימנע את שינוי המצב הקיים, כאשר יהיה בכך כדי למנוע את סיכול ההליך, שמא לא ניתן יהיה להשיב את המצב לקדמותו. השאלה היא </w:t>
      </w:r>
      <w:r>
        <w:rPr>
          <w:rFonts w:ascii="Arial" w:hAnsi="Arial"/>
          <w:noProof w:val="0"/>
          <w:rtl/>
        </w:rPr>
        <w:t>–</w:t>
      </w:r>
      <w:r>
        <w:rPr>
          <w:rFonts w:ascii="Arial" w:hAnsi="Arial" w:hint="cs"/>
          <w:noProof w:val="0"/>
          <w:rtl/>
        </w:rPr>
        <w:t xml:space="preserve"> האם המבקשת הראתה שיגרם לה נזק בלתי הפיך, במצב שבו בקשתה לסעד זמני תדחה. איני סבור כי עלה בידי המבקשת להראות כי זהו המצב. פתוחה הדרך </w:t>
      </w:r>
      <w:r w:rsidR="00222260">
        <w:rPr>
          <w:rFonts w:ascii="Arial" w:hAnsi="Arial" w:hint="cs"/>
          <w:noProof w:val="0"/>
          <w:rtl/>
        </w:rPr>
        <w:t>ב</w:t>
      </w:r>
      <w:r>
        <w:rPr>
          <w:rFonts w:ascii="Arial" w:hAnsi="Arial" w:hint="cs"/>
          <w:noProof w:val="0"/>
          <w:rtl/>
        </w:rPr>
        <w:t xml:space="preserve">פני המבקשת להשלים את המידע והמסמכים שהתבקשה להגיש למשיב, על מנת שהאחרון יבחן שוב את בקשתה ויתכן כי עמדת המשיב תשתנה, לאור המסמכים והמידע שיוגשו לו. לעומת זאת, אם יינתן צו עשה זמני, ויתברר בסיום ההליך העיקרי כי יש מקום לדחות את התובענה, בהחלט צפוי כי יגרם למשיב נזק </w:t>
      </w:r>
      <w:r w:rsidR="004F1935">
        <w:rPr>
          <w:rFonts w:ascii="Arial" w:hAnsi="Arial" w:hint="cs"/>
          <w:noProof w:val="0"/>
          <w:rtl/>
        </w:rPr>
        <w:t>ובהקשר זה מדובר בנזק שעלול להיגרם לאינטרס הציבורי (ראו תקנה 95(ד)(1) לתקנות סד</w:t>
      </w:r>
      <w:r w:rsidR="00B81920">
        <w:rPr>
          <w:rFonts w:ascii="Arial" w:hAnsi="Arial" w:hint="cs"/>
          <w:noProof w:val="0"/>
          <w:rtl/>
        </w:rPr>
        <w:t xml:space="preserve">ר הדין האזרחי, תשע"ט </w:t>
      </w:r>
      <w:r w:rsidR="00B81920">
        <w:rPr>
          <w:rFonts w:ascii="Arial" w:hAnsi="Arial"/>
          <w:noProof w:val="0"/>
          <w:rtl/>
        </w:rPr>
        <w:t>–</w:t>
      </w:r>
      <w:r w:rsidR="00B81920">
        <w:rPr>
          <w:rFonts w:ascii="Arial" w:hAnsi="Arial" w:hint="cs"/>
          <w:noProof w:val="0"/>
          <w:rtl/>
        </w:rPr>
        <w:t xml:space="preserve"> 2018) </w:t>
      </w:r>
      <w:r w:rsidR="004F1935">
        <w:rPr>
          <w:rFonts w:ascii="Arial" w:hAnsi="Arial" w:hint="cs"/>
          <w:noProof w:val="0"/>
          <w:rtl/>
        </w:rPr>
        <w:t xml:space="preserve">במצב דברים זה, כאשר מתבקש סעד עשה המשנה מצב קיים והזהה לסעד הסופי המבוקש בתביעה, מוטל היה על המבקשת לעמוד בנטל מוגבר לעניין מאזן הנוחות ובנטל זה לא עמדה המבקשת. </w:t>
      </w:r>
    </w:p>
    <w:p w:rsidR="00B81920" w:rsidRDefault="00B81920" w:rsidP="00B81920">
      <w:pPr>
        <w:pStyle w:val="ad"/>
        <w:spacing w:line="360" w:lineRule="auto"/>
        <w:jc w:val="both"/>
        <w:rPr>
          <w:rFonts w:ascii="Arial" w:hAnsi="Arial"/>
          <w:noProof w:val="0"/>
        </w:rPr>
      </w:pPr>
    </w:p>
    <w:p w:rsidR="00F651D3" w:rsidRDefault="00F651D3" w:rsidP="00222260">
      <w:pPr>
        <w:pStyle w:val="ad"/>
        <w:numPr>
          <w:ilvl w:val="0"/>
          <w:numId w:val="1"/>
        </w:numPr>
        <w:spacing w:line="360" w:lineRule="auto"/>
        <w:jc w:val="both"/>
        <w:rPr>
          <w:rFonts w:ascii="Arial" w:hAnsi="Arial"/>
          <w:noProof w:val="0"/>
        </w:rPr>
      </w:pPr>
      <w:r>
        <w:rPr>
          <w:rFonts w:ascii="Arial" w:hAnsi="Arial" w:hint="cs"/>
          <w:noProof w:val="0"/>
          <w:rtl/>
        </w:rPr>
        <w:t>לטענת המבקשת, היה על המשיב להסתפק בהפעלת סמכותו לפי סעיף 194 לפקוד</w:t>
      </w:r>
      <w:r w:rsidR="00222260">
        <w:rPr>
          <w:rFonts w:ascii="Arial" w:hAnsi="Arial" w:hint="cs"/>
          <w:noProof w:val="0"/>
          <w:rtl/>
        </w:rPr>
        <w:t xml:space="preserve">ה </w:t>
      </w:r>
      <w:r>
        <w:rPr>
          <w:rFonts w:ascii="Arial" w:hAnsi="Arial" w:hint="cs"/>
          <w:noProof w:val="0"/>
          <w:rtl/>
        </w:rPr>
        <w:t xml:space="preserve">("גביית מס במקרים מיוחדים"), המאפשר לפקיד השומה לדרוש ערובה לתשלום המס ואף לפנות לבית המשפט למתן צווי עיקול על רכוש המבקשת. המבקשת אף הפנתה </w:t>
      </w:r>
      <w:r w:rsidR="00222260">
        <w:rPr>
          <w:rFonts w:ascii="Arial" w:hAnsi="Arial" w:hint="cs"/>
          <w:noProof w:val="0"/>
          <w:rtl/>
        </w:rPr>
        <w:t>ל</w:t>
      </w:r>
      <w:r>
        <w:rPr>
          <w:rFonts w:ascii="Arial" w:hAnsi="Arial" w:hint="cs"/>
          <w:noProof w:val="0"/>
          <w:rtl/>
        </w:rPr>
        <w:t xml:space="preserve">סעיף המקביל בחוק מע"מ (112א), המאפשר למנהל מע"מ, </w:t>
      </w:r>
      <w:r w:rsidR="003911C4">
        <w:rPr>
          <w:rFonts w:ascii="Arial" w:hAnsi="Arial" w:hint="cs"/>
          <w:noProof w:val="0"/>
          <w:rtl/>
        </w:rPr>
        <w:t xml:space="preserve">החושש כי המס על עסקאות או על תשומות שלא נוכה כדין לא ישולם, לדרוש ערובה לתשלום המס או לבקש צווי עיקול מבית משפט השלום. נטען כי פעולה לפי הסעיפים האמורים הינה מידתית יותר ובדרך זו היה על המשיב לפעול. </w:t>
      </w:r>
      <w:r w:rsidR="004F1935">
        <w:rPr>
          <w:rFonts w:ascii="Arial" w:hAnsi="Arial" w:hint="cs"/>
          <w:noProof w:val="0"/>
          <w:rtl/>
        </w:rPr>
        <w:t xml:space="preserve">אכן, על המשיב, ככל רשות מנהלית, לפעול בסבירות ובמידתיות. </w:t>
      </w:r>
      <w:r w:rsidR="00222260">
        <w:rPr>
          <w:rFonts w:ascii="Arial" w:hAnsi="Arial" w:hint="cs"/>
          <w:noProof w:val="0"/>
          <w:rtl/>
        </w:rPr>
        <w:t xml:space="preserve">יחד עם זאת, </w:t>
      </w:r>
      <w:r w:rsidR="004F1935">
        <w:rPr>
          <w:rFonts w:ascii="Arial" w:hAnsi="Arial" w:hint="cs"/>
          <w:noProof w:val="0"/>
          <w:rtl/>
        </w:rPr>
        <w:t xml:space="preserve">איני סבור כי  תפקידו של בית המשפט הינו להורות למשיב בדבר דרך הפעולה בה עליו לנקוט לשם גביית חובות מס. </w:t>
      </w:r>
      <w:r w:rsidR="00222260">
        <w:rPr>
          <w:rFonts w:ascii="Arial" w:hAnsi="Arial" w:hint="cs"/>
          <w:noProof w:val="0"/>
          <w:rtl/>
        </w:rPr>
        <w:t>אציין כי</w:t>
      </w:r>
      <w:r w:rsidR="004F1935">
        <w:rPr>
          <w:rFonts w:ascii="Arial" w:hAnsi="Arial" w:hint="cs"/>
          <w:noProof w:val="0"/>
          <w:rtl/>
        </w:rPr>
        <w:t xml:space="preserve">, ראוי שהמשיב ייקח בחשבון </w:t>
      </w:r>
      <w:r w:rsidR="00222260">
        <w:rPr>
          <w:rFonts w:ascii="Arial" w:hAnsi="Arial" w:hint="cs"/>
          <w:noProof w:val="0"/>
          <w:rtl/>
        </w:rPr>
        <w:t xml:space="preserve">גם </w:t>
      </w:r>
      <w:r w:rsidR="000F7BE6">
        <w:rPr>
          <w:rFonts w:ascii="Arial" w:hAnsi="Arial" w:hint="cs"/>
          <w:noProof w:val="0"/>
          <w:rtl/>
        </w:rPr>
        <w:t xml:space="preserve">את הסמכויות </w:t>
      </w:r>
      <w:r w:rsidR="00222260">
        <w:rPr>
          <w:rFonts w:ascii="Arial" w:hAnsi="Arial" w:hint="cs"/>
          <w:noProof w:val="0"/>
          <w:rtl/>
        </w:rPr>
        <w:t xml:space="preserve">האחרות </w:t>
      </w:r>
      <w:r w:rsidR="000F7BE6">
        <w:rPr>
          <w:rFonts w:ascii="Arial" w:hAnsi="Arial" w:hint="cs"/>
          <w:noProof w:val="0"/>
          <w:rtl/>
        </w:rPr>
        <w:t xml:space="preserve">הנתונות לו בפקודה, כאשר ידון פעם נוספת בבקשת המבקשת להקטין את שיעור הניכוי במקור, לאחר שזו תשלים את המידע והמסמכים שהתבקשו על ידו. </w:t>
      </w:r>
    </w:p>
    <w:p w:rsidR="00B81920" w:rsidRPr="00B81920" w:rsidRDefault="00B81920" w:rsidP="00B81920">
      <w:pPr>
        <w:pStyle w:val="ad"/>
        <w:rPr>
          <w:rFonts w:ascii="Arial" w:hAnsi="Arial"/>
          <w:noProof w:val="0"/>
          <w:rtl/>
        </w:rPr>
      </w:pPr>
    </w:p>
    <w:p w:rsidR="00B81920" w:rsidRPr="000C3EC2" w:rsidRDefault="00B81920" w:rsidP="00B81920">
      <w:pPr>
        <w:pStyle w:val="ad"/>
        <w:spacing w:line="360" w:lineRule="auto"/>
        <w:jc w:val="both"/>
        <w:rPr>
          <w:rFonts w:ascii="Arial" w:hAnsi="Arial"/>
          <w:noProof w:val="0"/>
        </w:rPr>
      </w:pPr>
    </w:p>
    <w:p w:rsidR="006F2778" w:rsidRDefault="000F7BE6" w:rsidP="000F7BE6">
      <w:pPr>
        <w:pStyle w:val="ad"/>
        <w:numPr>
          <w:ilvl w:val="0"/>
          <w:numId w:val="1"/>
        </w:numPr>
        <w:spacing w:line="360" w:lineRule="auto"/>
        <w:jc w:val="both"/>
        <w:rPr>
          <w:rFonts w:ascii="Arial" w:hAnsi="Arial"/>
          <w:noProof w:val="0"/>
        </w:rPr>
      </w:pPr>
      <w:r w:rsidRPr="000F7BE6">
        <w:rPr>
          <w:rFonts w:ascii="Arial" w:hAnsi="Arial" w:hint="cs"/>
          <w:b/>
          <w:bCs/>
          <w:noProof w:val="0"/>
          <w:rtl/>
        </w:rPr>
        <w:t>סוף דבר</w:t>
      </w:r>
      <w:r>
        <w:rPr>
          <w:rFonts w:ascii="Arial" w:hAnsi="Arial" w:hint="cs"/>
          <w:noProof w:val="0"/>
          <w:rtl/>
        </w:rPr>
        <w:t xml:space="preserve">: לאור כל האמור, הבקשה נדחית. לעניין הוצאות הבקשה, מצאתי שלא להכביד על המבקשת, לאור הנזק הצפוי להיגרם לה ככל ששיעור הניכוי במקור לא ישונה. על המבקשת לשלם למשיב הוצאות ושכ"ט עו"ד בסכום כולל של 4,000 ₪ וזאת תוך 45 ימים מהיום. לאחר מועד זה יתווספו לסכום הנ"ל הפרשי הצמדה וריבית כחוק. </w:t>
      </w:r>
    </w:p>
    <w:p w:rsidR="00B81920" w:rsidRDefault="00B81920" w:rsidP="000F7BE6">
      <w:pPr>
        <w:spacing w:line="360" w:lineRule="auto"/>
        <w:jc w:val="both"/>
        <w:rPr>
          <w:rFonts w:ascii="Arial" w:hAnsi="Arial"/>
          <w:noProof w:val="0"/>
          <w:rtl/>
        </w:rPr>
      </w:pPr>
    </w:p>
    <w:p w:rsidR="00694556" w:rsidRPr="00222260" w:rsidRDefault="000F7BE6" w:rsidP="000F7BE6">
      <w:pPr>
        <w:spacing w:line="360" w:lineRule="auto"/>
        <w:jc w:val="both"/>
        <w:rPr>
          <w:rFonts w:ascii="Arial" w:hAnsi="Arial"/>
          <w:b/>
          <w:bCs/>
          <w:noProof w:val="0"/>
          <w:rtl/>
        </w:rPr>
      </w:pPr>
      <w:r w:rsidRPr="00222260">
        <w:rPr>
          <w:rFonts w:ascii="Arial" w:hAnsi="Arial" w:hint="cs"/>
          <w:b/>
          <w:bCs/>
          <w:noProof w:val="0"/>
          <w:rtl/>
        </w:rPr>
        <w:t xml:space="preserve">המזכירות תמציא את ההחלטה לב"כ הצדדים.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Pr>
          <w:rFonts w:ascii="Arial" w:hAnsi="Arial"/>
          <w:noProof w:val="0"/>
          <w:rtl/>
        </w:rPr>
        <w:t>כ"ב אלול תשפ"ד</w:t>
      </w:r>
      <w:r w:rsidR="00005C8B">
        <w:rPr>
          <w:rFonts w:ascii="Arial" w:hAnsi="Arial"/>
          <w:noProof w:val="0"/>
          <w:rtl/>
        </w:rPr>
        <w:t xml:space="preserve">, </w:t>
      </w:r>
      <w:r>
        <w:rPr>
          <w:rFonts w:ascii="Arial" w:hAnsi="Arial"/>
          <w:noProof w:val="0"/>
          <w:rtl/>
        </w:rPr>
        <w:t>25 ספטמבר 2024</w:t>
      </w:r>
      <w:r w:rsidR="00005C8B">
        <w:rPr>
          <w:rFonts w:ascii="Arial" w:hAnsi="Arial"/>
          <w:noProof w:val="0"/>
          <w:rtl/>
        </w:rPr>
        <w:t>, בהעדר הצדדים.</w:t>
      </w:r>
    </w:p>
    <w:p w:rsidR="00C43648" w:rsidRDefault="00C43648" w:rsidP="00BD6531">
      <w:pPr>
        <w:tabs>
          <w:tab w:val="left" w:pos="2553"/>
        </w:tabs>
        <w:ind w:left="5040"/>
        <w:rPr>
          <w:rtl/>
        </w:rPr>
      </w:pPr>
    </w:p>
    <w:p w:rsidR="00B95B73" w:rsidRDefault="00BD6531" w:rsidP="001042B8">
      <w:pPr>
        <w:spacing w:line="360" w:lineRule="auto"/>
        <w:jc w:val="both"/>
        <w:rPr>
          <w:rFonts w:ascii="Arial" w:hAnsi="Arial"/>
          <w:b/>
          <w:bCs/>
        </w:rPr>
      </w:pPr>
      <w:r>
        <w:rPr>
          <w:rFonts w:hint="cs"/>
          <w:rtl/>
        </w:rPr>
        <w:tab/>
      </w:r>
      <w:r>
        <w:rPr>
          <w:rFonts w:hint="cs"/>
          <w:rtl/>
        </w:rPr>
        <w:tab/>
      </w:r>
      <w:r>
        <w:rPr>
          <w:rFonts w:hint="cs"/>
          <w:rtl/>
        </w:rPr>
        <w:tab/>
      </w:r>
      <w:r>
        <w:rPr>
          <w:rFonts w:hint="cs"/>
          <w:rtl/>
        </w:rPr>
        <w:tab/>
      </w:r>
      <w:r w:rsidR="00B95B73">
        <w:rPr>
          <w:rFonts w:ascii="Arial" w:hAnsi="Arial"/>
          <w:b/>
          <w:bCs/>
          <w:rtl/>
        </w:rPr>
        <w:t xml:space="preserve"> </w:t>
      </w:r>
    </w:p>
    <w:tbl>
      <w:tblPr>
        <w:tblStyle w:val="a9"/>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B95B73" w:rsidTr="001042B8">
        <w:trPr>
          <w:trHeight w:val="992"/>
        </w:trPr>
        <w:tc>
          <w:tcPr>
            <w:tcW w:w="2962" w:type="dxa"/>
            <w:tcBorders>
              <w:top w:val="nil"/>
              <w:left w:val="nil"/>
              <w:bottom w:val="single" w:sz="4" w:space="0" w:color="auto"/>
              <w:right w:val="nil"/>
            </w:tcBorders>
            <w:vAlign w:val="center"/>
            <w:hideMark/>
          </w:tcPr>
          <w:p w:rsidR="00B95B73" w:rsidRDefault="00B95B73">
            <w:pPr>
              <w:jc w:val="center"/>
              <w:rPr>
                <w:rFonts w:ascii="Courier New" w:hAnsi="Courier New"/>
                <w:b/>
                <w:bCs/>
                <w:rtl/>
              </w:rPr>
            </w:pPr>
            <w:r>
              <w:rPr>
                <w:rFonts w:ascii="Courier New" w:hAnsi="Courier New"/>
                <w:b/>
                <w:bCs/>
              </w:rPr>
              <w:drawing>
                <wp:inline distT="0" distB="0" distL="0" distR="0">
                  <wp:extent cx="1517650" cy="5651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7650" cy="565150"/>
                          </a:xfrm>
                          <a:prstGeom prst="rect">
                            <a:avLst/>
                          </a:prstGeom>
                          <a:noFill/>
                          <a:ln>
                            <a:noFill/>
                          </a:ln>
                        </pic:spPr>
                      </pic:pic>
                    </a:graphicData>
                  </a:graphic>
                </wp:inline>
              </w:drawing>
            </w:r>
          </w:p>
        </w:tc>
      </w:tr>
      <w:tr w:rsidR="00B95B73" w:rsidTr="001042B8">
        <w:tc>
          <w:tcPr>
            <w:tcW w:w="2962" w:type="dxa"/>
            <w:tcBorders>
              <w:top w:val="single" w:sz="4" w:space="0" w:color="auto"/>
              <w:left w:val="nil"/>
              <w:bottom w:val="nil"/>
              <w:right w:val="nil"/>
            </w:tcBorders>
            <w:vAlign w:val="bottom"/>
            <w:hideMark/>
          </w:tcPr>
          <w:p w:rsidR="00B95B73" w:rsidRDefault="00B95B73">
            <w:pPr>
              <w:spacing w:before="120" w:after="120"/>
              <w:jc w:val="center"/>
              <w:rPr>
                <w:rFonts w:ascii="Courier New" w:hAnsi="Courier New"/>
                <w:b/>
                <w:bCs/>
              </w:rPr>
            </w:pPr>
            <w:r>
              <w:rPr>
                <w:rFonts w:ascii="Courier New" w:hAnsi="Courier New"/>
                <w:b/>
                <w:bCs/>
                <w:rtl/>
              </w:rPr>
              <w:t>אביגדור דורות, שופט</w:t>
            </w:r>
          </w:p>
        </w:tc>
      </w:tr>
    </w:tbl>
    <w:p w:rsidR="00B95B73" w:rsidRDefault="00B95B73" w:rsidP="001042B8">
      <w:pPr>
        <w:tabs>
          <w:tab w:val="left" w:pos="2553"/>
        </w:tabs>
        <w:rPr>
          <w:rFonts w:ascii="Arial" w:hAnsi="Arial"/>
        </w:rPr>
      </w:pPr>
    </w:p>
    <w:p w:rsidR="00B95B73" w:rsidRDefault="00B95B73" w:rsidP="001042B8">
      <w:pPr>
        <w:rPr>
          <w:rtl/>
        </w:rPr>
      </w:pPr>
    </w:p>
    <w:p w:rsidR="00B95B73" w:rsidRDefault="00B95B73" w:rsidP="001042B8">
      <w:pPr>
        <w:rPr>
          <w:rtl/>
        </w:rPr>
      </w:pPr>
    </w:p>
    <w:p w:rsidR="00B95B73" w:rsidRDefault="00B95B73" w:rsidP="001042B8">
      <w:pPr>
        <w:tabs>
          <w:tab w:val="left" w:pos="2553"/>
        </w:tabs>
        <w:rPr>
          <w:rFonts w:ascii="Arial" w:hAnsi="Arial"/>
        </w:rPr>
      </w:pPr>
    </w:p>
    <w:p w:rsidR="00B95B73" w:rsidRDefault="00B95B73" w:rsidP="001042B8">
      <w:pPr>
        <w:tabs>
          <w:tab w:val="left" w:pos="2553"/>
        </w:tabs>
        <w:rPr>
          <w:rFonts w:ascii="Arial" w:hAnsi="Arial"/>
          <w:rtl/>
        </w:rPr>
      </w:pPr>
    </w:p>
    <w:p w:rsidR="00B95B73" w:rsidRPr="001042B8" w:rsidRDefault="00B95B73" w:rsidP="001042B8"/>
    <w:p w:rsidR="00694556" w:rsidRDefault="00694556" w:rsidP="00B95B73">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77E" w:rsidRDefault="00F5677E">
      <w:r>
        <w:separator/>
      </w:r>
    </w:p>
  </w:endnote>
  <w:endnote w:type="continuationSeparator" w:id="0">
    <w:p w:rsidR="00F5677E" w:rsidRDefault="00F5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73" w:rsidRDefault="00B95B7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706AC8">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706AC8">
      <w:rPr>
        <w:rStyle w:val="ab"/>
        <w:rFonts w:ascii="David" w:hAnsi="David"/>
        <w:rtl/>
      </w:rPr>
      <w:t>8</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73" w:rsidRDefault="00B95B7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77E" w:rsidRDefault="00F5677E">
      <w:r>
        <w:separator/>
      </w:r>
    </w:p>
  </w:footnote>
  <w:footnote w:type="continuationSeparator" w:id="0">
    <w:p w:rsidR="00F5677E" w:rsidRDefault="00F5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73" w:rsidRDefault="00B95B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5677E"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38545-09-24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סטי אנרגיה בע"מ נ' מדינת ישראל</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B73" w:rsidRDefault="00B95B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61BBD"/>
    <w:multiLevelType w:val="hybridMultilevel"/>
    <w:tmpl w:val="82A8CDFE"/>
    <w:lvl w:ilvl="0" w:tplc="2F006DB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AAD0E5C"/>
    <w:multiLevelType w:val="hybridMultilevel"/>
    <w:tmpl w:val="A1F4A9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61236"/>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961236&amp;lt;/CaseID&amp;gt;_x000d__x000a_        &amp;lt;DocumentID&amp;gt;456380368&amp;lt;/DocumentID&amp;gt;_x000d__x000a_      &amp;lt;/dt_DocumentCase&amp;gt;_x000d__x000a_      &amp;lt;dt_Document diffgr:id=&amp;quot;dt_Document1&amp;quot; msdata:rowOrder=&amp;quot;0&amp;quot;&amp;gt;_x000d__x000a_        &amp;lt;DocumentID&amp;gt;456380368&amp;lt;/DocumentID&amp;gt;_x000d__x000a_        &amp;lt;DocumentMainID&amp;gt;0&amp;lt;/DocumentMainID&amp;gt;_x000d__x000a_        &amp;lt;CaseID&amp;gt;81961236&amp;lt;/CaseID&amp;gt;_x000d__x000a_        &amp;lt;DocumentIncludedDate&amp;gt;2024-09-26T12:56:23.197+03:00&amp;lt;/DocumentIncludedDate&amp;gt;_x000d__x000a_        &amp;lt;DocumentDesc&amp;gt;החלטה על בקשה של תובע 1 בקשה בהולה למתן סעד זמנ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9-26T12:56:23.197+03:00&amp;lt;/DocumentSavingDate&amp;gt;_x000d__x000a_        &amp;lt;DocumentChangeDate&amp;gt;2024-09-26T12:56:23.43+03:00&amp;lt;/DocumentChangeDate&amp;gt;_x000d__x000a_        &amp;lt;IsScanned&amp;gt;false&amp;lt;/IsScanned&amp;gt;_x000d__x000a_        &amp;lt;PageQuantity&amp;gt;0&amp;lt;/PageQuantity&amp;gt;_x000d__x000a_        &amp;lt;DocumentStatusID&amp;gt;2&amp;lt;/DocumentStatusID&amp;gt;_x000d__x000a_        &amp;lt;DocumentStatusChangeDate&amp;gt;2024-09-26T12:56:23.43+03:00&amp;lt;/DocumentStatusChangeDate&amp;gt;_x000d__x000a_        &amp;lt;TemplateVersionID&amp;gt;1&amp;lt;/TemplateVersionID&amp;gt;_x000d__x000a_        &amp;lt;DocumentChangeUserID&amp;gt;055121115@GOV.IL&amp;lt;/DocumentChangeUserID&amp;gt;_x000d__x000a_        &amp;lt;DocumentCreationUserID&amp;gt;055121115@GOV.IL&amp;lt;/DocumentCreationUserID&amp;gt;_x000d__x000a_        &amp;lt;OriginalDocumentID&amp;gt;456286127&amp;lt;/OriginalDocumentID&amp;gt;_x000d__x000a_        &amp;lt;PrivillegeID&amp;gt;1&amp;lt;/PrivillegeID&amp;gt;_x000d__x000a_        &amp;lt;FromPage&amp;gt;0&amp;lt;/FromPage&amp;gt;_x000d__x000a_        &amp;lt;ToPage&amp;gt;0&amp;lt;/ToPage&amp;gt;_x000d__x000a_        &amp;lt;FileID&amp;gt;f3a1c22d92010000090037f6ab573912&amp;lt;/FileID&amp;gt;_x000d__x000a_        &amp;lt;URL&amp;gt;\\CTLNFSV02\doc_repository\633\193\aa1fb93c035540698f71cb50d7688d58_copy.docx&amp;lt;/URL&amp;gt;_x000d__x000a_        &amp;lt;OlivePriority&amp;gt;1&amp;lt;/OlivePriority&amp;gt;_x000d__x000a_        &amp;lt;MetaDataTypeID&amp;gt;1&amp;lt;/MetaDataTypeID&amp;gt;_x000d__x000a_        &amp;lt;MetaDataChangeDate&amp;gt;2024-09-26T12:56:23.4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ביגדור דורות&amp;amp;lt;/anyType&amp;amp;gt;_x000d__x000a_    &amp;amp;lt;anyType xsi:type=&amp;quot;xsd:dateTime&amp;quot;&amp;amp;gt;2024-09-26T12:55:48.678713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26T12:55:48.68+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2D67"/>
    <w:rsid w:val="000346CC"/>
    <w:rsid w:val="000529D2"/>
    <w:rsid w:val="000564AB"/>
    <w:rsid w:val="00064FBD"/>
    <w:rsid w:val="00082AB2"/>
    <w:rsid w:val="0008707E"/>
    <w:rsid w:val="000906FE"/>
    <w:rsid w:val="00096AF7"/>
    <w:rsid w:val="000A2CBE"/>
    <w:rsid w:val="000B344B"/>
    <w:rsid w:val="000C3B0F"/>
    <w:rsid w:val="000C3B60"/>
    <w:rsid w:val="000C3EC2"/>
    <w:rsid w:val="000E0DD2"/>
    <w:rsid w:val="000E3AF1"/>
    <w:rsid w:val="000F0BC8"/>
    <w:rsid w:val="000F0DD6"/>
    <w:rsid w:val="000F7BE6"/>
    <w:rsid w:val="00107E6D"/>
    <w:rsid w:val="0011194C"/>
    <w:rsid w:val="0011424C"/>
    <w:rsid w:val="001173C6"/>
    <w:rsid w:val="00132EFF"/>
    <w:rsid w:val="001367BC"/>
    <w:rsid w:val="00144D2A"/>
    <w:rsid w:val="0014653E"/>
    <w:rsid w:val="00180519"/>
    <w:rsid w:val="0018560D"/>
    <w:rsid w:val="00191C82"/>
    <w:rsid w:val="001C4003"/>
    <w:rsid w:val="001D019F"/>
    <w:rsid w:val="001D4DBF"/>
    <w:rsid w:val="001E75CA"/>
    <w:rsid w:val="00222260"/>
    <w:rsid w:val="002265FF"/>
    <w:rsid w:val="00235B97"/>
    <w:rsid w:val="00271B56"/>
    <w:rsid w:val="002A500B"/>
    <w:rsid w:val="002C344E"/>
    <w:rsid w:val="002E75E9"/>
    <w:rsid w:val="002F0B1E"/>
    <w:rsid w:val="00307A6A"/>
    <w:rsid w:val="00307C40"/>
    <w:rsid w:val="00320433"/>
    <w:rsid w:val="003230C7"/>
    <w:rsid w:val="00327E50"/>
    <w:rsid w:val="0033597A"/>
    <w:rsid w:val="00343D89"/>
    <w:rsid w:val="00347810"/>
    <w:rsid w:val="00362612"/>
    <w:rsid w:val="0036743F"/>
    <w:rsid w:val="003715DD"/>
    <w:rsid w:val="003823E0"/>
    <w:rsid w:val="003911C4"/>
    <w:rsid w:val="0039511B"/>
    <w:rsid w:val="003A4521"/>
    <w:rsid w:val="003B3E8D"/>
    <w:rsid w:val="003B7BFD"/>
    <w:rsid w:val="003D1C8C"/>
    <w:rsid w:val="0040096C"/>
    <w:rsid w:val="00414F1F"/>
    <w:rsid w:val="0043125D"/>
    <w:rsid w:val="0043502B"/>
    <w:rsid w:val="004443AC"/>
    <w:rsid w:val="00444B02"/>
    <w:rsid w:val="00451E28"/>
    <w:rsid w:val="004549C7"/>
    <w:rsid w:val="00462C62"/>
    <w:rsid w:val="00465D36"/>
    <w:rsid w:val="00475E38"/>
    <w:rsid w:val="004956AB"/>
    <w:rsid w:val="004A2CDD"/>
    <w:rsid w:val="004A4DE9"/>
    <w:rsid w:val="004C17EE"/>
    <w:rsid w:val="004C4BDF"/>
    <w:rsid w:val="004D1187"/>
    <w:rsid w:val="004D3AA0"/>
    <w:rsid w:val="004E1987"/>
    <w:rsid w:val="004E2E15"/>
    <w:rsid w:val="004E6E3C"/>
    <w:rsid w:val="004F1935"/>
    <w:rsid w:val="00511B90"/>
    <w:rsid w:val="005143D9"/>
    <w:rsid w:val="00520898"/>
    <w:rsid w:val="00523621"/>
    <w:rsid w:val="00524986"/>
    <w:rsid w:val="005268F6"/>
    <w:rsid w:val="00534284"/>
    <w:rsid w:val="00547DB7"/>
    <w:rsid w:val="005A650B"/>
    <w:rsid w:val="005B27C6"/>
    <w:rsid w:val="005C0627"/>
    <w:rsid w:val="005E08D0"/>
    <w:rsid w:val="005F4F09"/>
    <w:rsid w:val="00612A05"/>
    <w:rsid w:val="0061431B"/>
    <w:rsid w:val="00622BAA"/>
    <w:rsid w:val="006306CF"/>
    <w:rsid w:val="006318D8"/>
    <w:rsid w:val="00644E9A"/>
    <w:rsid w:val="006523C1"/>
    <w:rsid w:val="00671BD5"/>
    <w:rsid w:val="006805C1"/>
    <w:rsid w:val="00686C21"/>
    <w:rsid w:val="006931C1"/>
    <w:rsid w:val="00694556"/>
    <w:rsid w:val="006B7258"/>
    <w:rsid w:val="006C30C5"/>
    <w:rsid w:val="006D3B31"/>
    <w:rsid w:val="006E0D96"/>
    <w:rsid w:val="006E1A53"/>
    <w:rsid w:val="006F2778"/>
    <w:rsid w:val="006F56E6"/>
    <w:rsid w:val="00704EDA"/>
    <w:rsid w:val="00706AC8"/>
    <w:rsid w:val="00721122"/>
    <w:rsid w:val="00734689"/>
    <w:rsid w:val="00753019"/>
    <w:rsid w:val="00754801"/>
    <w:rsid w:val="00761441"/>
    <w:rsid w:val="00765F91"/>
    <w:rsid w:val="00795365"/>
    <w:rsid w:val="007A351D"/>
    <w:rsid w:val="007B7765"/>
    <w:rsid w:val="007C5BDD"/>
    <w:rsid w:val="007D45E3"/>
    <w:rsid w:val="007E6115"/>
    <w:rsid w:val="007F4609"/>
    <w:rsid w:val="00814468"/>
    <w:rsid w:val="008159DC"/>
    <w:rsid w:val="008176A1"/>
    <w:rsid w:val="00820005"/>
    <w:rsid w:val="00841158"/>
    <w:rsid w:val="00844318"/>
    <w:rsid w:val="00851257"/>
    <w:rsid w:val="00863F5D"/>
    <w:rsid w:val="00870890"/>
    <w:rsid w:val="00873602"/>
    <w:rsid w:val="00875D12"/>
    <w:rsid w:val="0088479D"/>
    <w:rsid w:val="008909A1"/>
    <w:rsid w:val="00891F42"/>
    <w:rsid w:val="00896889"/>
    <w:rsid w:val="008A59EE"/>
    <w:rsid w:val="008A6E97"/>
    <w:rsid w:val="008C5714"/>
    <w:rsid w:val="008D10B2"/>
    <w:rsid w:val="00903896"/>
    <w:rsid w:val="00906F3D"/>
    <w:rsid w:val="0094424E"/>
    <w:rsid w:val="00955642"/>
    <w:rsid w:val="009622DF"/>
    <w:rsid w:val="0096493F"/>
    <w:rsid w:val="00967DFF"/>
    <w:rsid w:val="0097020F"/>
    <w:rsid w:val="009777CA"/>
    <w:rsid w:val="00994341"/>
    <w:rsid w:val="009D1A48"/>
    <w:rsid w:val="009E1CE7"/>
    <w:rsid w:val="009E4EA5"/>
    <w:rsid w:val="009F164B"/>
    <w:rsid w:val="009F323C"/>
    <w:rsid w:val="00A047BD"/>
    <w:rsid w:val="00A3392B"/>
    <w:rsid w:val="00A81988"/>
    <w:rsid w:val="00A85E34"/>
    <w:rsid w:val="00A87DF6"/>
    <w:rsid w:val="00A9144F"/>
    <w:rsid w:val="00A94B64"/>
    <w:rsid w:val="00AA3229"/>
    <w:rsid w:val="00AA7596"/>
    <w:rsid w:val="00AB5E52"/>
    <w:rsid w:val="00AC3B02"/>
    <w:rsid w:val="00AC3B7B"/>
    <w:rsid w:val="00AC5209"/>
    <w:rsid w:val="00AC5857"/>
    <w:rsid w:val="00AD0CDC"/>
    <w:rsid w:val="00AE0E34"/>
    <w:rsid w:val="00AE729E"/>
    <w:rsid w:val="00AE7752"/>
    <w:rsid w:val="00AF7FDA"/>
    <w:rsid w:val="00B5356E"/>
    <w:rsid w:val="00B62AD7"/>
    <w:rsid w:val="00B66717"/>
    <w:rsid w:val="00B809AD"/>
    <w:rsid w:val="00B80CBD"/>
    <w:rsid w:val="00B81920"/>
    <w:rsid w:val="00B86096"/>
    <w:rsid w:val="00B95B73"/>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2774"/>
    <w:rsid w:val="00CD516B"/>
    <w:rsid w:val="00CD608F"/>
    <w:rsid w:val="00CE0084"/>
    <w:rsid w:val="00CF6BB7"/>
    <w:rsid w:val="00D01EA8"/>
    <w:rsid w:val="00D04AA4"/>
    <w:rsid w:val="00D27982"/>
    <w:rsid w:val="00D33B86"/>
    <w:rsid w:val="00D44968"/>
    <w:rsid w:val="00D53924"/>
    <w:rsid w:val="00D55D0C"/>
    <w:rsid w:val="00D837DB"/>
    <w:rsid w:val="00D96D8C"/>
    <w:rsid w:val="00DA09BB"/>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1E5C"/>
    <w:rsid w:val="00EC37E9"/>
    <w:rsid w:val="00F038D8"/>
    <w:rsid w:val="00F06995"/>
    <w:rsid w:val="00F12D66"/>
    <w:rsid w:val="00F13623"/>
    <w:rsid w:val="00F44D1D"/>
    <w:rsid w:val="00F53908"/>
    <w:rsid w:val="00F5677E"/>
    <w:rsid w:val="00F56FE6"/>
    <w:rsid w:val="00F651D3"/>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C1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201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4434"/>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iesSelectionDS>
      <CaseParties>
        <PartyTypeName>צד</PartyTypeName>
        <ProceedingType>בקשות</ProceedingType>
        <PleaName>בקשה של תובע 1 בקשה בהולה למתן סעד זמני</PleaName>
        <PartyBelonging>צד א'</PartyBelonging>
        <RoleName>מבקש 1</RoleName>
        <IsSubProceeding>TRUE</IsSubProceeding>
        <FullName>סטי אנרגיה בע"מ</FullName>
        <LastName>סטי אנרגיה בע"מ</LastName>
        <PartyPropertyName/>
        <AuthenticationTypeAndNumber>חברות 512883414</AuthenticationTypeAndNumber>
        <RepresentatedOrRepresentativesNames>תמיר סולומון</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277614922</CasePartyID>
        <PartyTypeID>1</PartyTypeID>
        <ActivityStatusID>1</ActivityStatusID>
        <PartyAliasID>3</PartyAliasID>
        <PartyAliasName>מבקש</PartyAliasName>
        <OrdinalNumber>1</OrdinalNumber>
        <LegalEntityID>281291</LegalEntityID>
        <CaseLegalEntityID>132259041</CaseLegalEntityID>
        <AuthenticationTypeID>3</AuthenticationTypeID>
        <AuthenticationTypeName>חברות</AuthenticationTypeName>
        <LegalEntityNumber>512883414</LegalEntityNumber>
        <IsMainPartyType>false</IsMainPartyType>
        <CaseDisplayIdentifier>38545-09-24</CaseDisplayIdentifier>
        <CaseTypeID>1</CaseTypeID>
        <CaseTypeName>תיק אזרחי בסדר דין רגיל (ת"א)</CaseTypeName>
        <CaseName>סטי אנרגיה בע"מ נ' מדינת ישראל</CaseName>
        <FullAddress>לייבוביץ 10 ירושלים </FullAddress>
        <MotionID>109664290</MotionID>
        <CasePleaID>0</CasePleaID>
        <LinkedCaseID>0</LinkedCaseID>
        <PartyID>1</PartyID>
        <CasePartyCategoryID>4</CasePartyCategoryID>
        <LegalEntityAddressID>75246870</LegalEntityAddressID>
        <PleaTypeID>60</PleaTypeID>
        <GroupPartyAlias>מבקשים</GroupPartyAlias>
        <IsConverted>false</IsConverted>
        <LegalEntityRegisteredNameID>230422</LegalEntityRegisteredNameID>
        <RepresentatedNamesOfAssistant/>
        <LegalEntityTypeID>3</LegalEntityTypeID>
        <IsVerdictExists>false</IsVerdictExists>
        <IsAsirAzir>false</IsAsirAzir>
        <MainAndSecSpec/>
        <IsPublicationProhibited>false</IsPublicationProhibited>
        <PublicationProhibitedFullName>סטי אנרגיה בע"מ</PublicationProhibitedFullName>
      </CaseParties>
      <CaseParties>
        <PartyTypeName>צד</PartyTypeName>
        <ProceedingType>בקשות</ProceedingType>
        <PleaName>בקשה של תובע 1 בקשה בהולה למתן סעד זמני</PleaName>
        <PartyBelonging>צד ב'</PartyBelonging>
        <RoleName>משיב 1</RoleName>
        <IsSubProceeding>TRUE</IsSubProceeding>
        <FullName>מדינת ישראל</FullName>
        <FirstName/>
        <LastName>מדינת ישראל</LastName>
        <PartyPropertyName/>
        <AuthenticationTypeAndNumber>מדינת ישראל </AuthenticationTypeAndNumber>
        <RepresentatedOrRepresentativesNames>קרן יוסט</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277614923</CasePartyID>
        <PartyTypeID>1</PartyTypeID>
        <ActivityStatusID>1</ActivityStatusID>
        <PartyAliasID>4</PartyAliasID>
        <PartyAliasName>משיב</PartyAliasName>
        <OrdinalNumber>1</OrdinalNumber>
        <LegalEntityID>4</LegalEntityID>
        <CaseLegalEntityID>132259043</CaseLegalEntityID>
        <AuthenticationTypeID>41</AuthenticationTypeID>
        <AuthenticationTypeName>מדינת ישראל </AuthenticationTypeName>
        <LegalEntityNumber/>
        <IsMainPartyType>false</IsMainPartyType>
        <CaseDisplayIdentifier>38545-09-24</CaseDisplayIdentifier>
        <CaseTypeID>1</CaseTypeID>
        <CaseTypeName>תיק אזרחי בסדר דין רגיל (ת"א)</CaseTypeName>
        <CaseName>סטי אנרגיה בע"מ נ' מדינת ישראל</CaseName>
        <FullAddress/>
        <MotionID>109664290</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תמיר סולומון</FullName>
        <FirstName>תמיר</FirstName>
        <LastName>סולומון</LastName>
        <PartyPropertyName/>
        <AuthenticationTypeAndNumber>מ.ר. 46346</AuthenticationTypeAndNumber>
        <RepresentatedOrRepresentativesNames xml:space="preserve"> </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277455677</CasePartyID>
        <PartyTypeID>2</PartyTypeID>
        <ActivityStatusID>1</ActivityStatusID>
        <PartyAliasID>20</PartyAliasID>
        <PartyAliasName>בא כוח תובעים</PartyAliasName>
        <OrdinalNumber>1</OrdinalNumber>
        <LegalEntityID>2123440</LegalEntityID>
        <CaseLegalEntityID>132259042</CaseLegalEntityID>
        <AuthenticationTypeID>4</AuthenticationTypeID>
        <AuthenticationTypeName>מ.ר.</AuthenticationTypeName>
        <LegalEntityNumber>46346</LegalEntityNumber>
        <IsMainPartyType>true</IsMainPartyType>
        <CaseDisplayIdentifier>38545-09-24</CaseDisplayIdentifier>
        <CaseTypeID>1</CaseTypeID>
        <CaseTypeName>תיק אזרחי בסדר דין רגיל (ת"א)</CaseTypeName>
        <CaseName>סטי אנרגיה בע"מ נ' מדינת ישראל</CaseName>
        <FullAddress>יהונתן נתניהו 5 אור יהודה כניסה מערבית</FullAddress>
        <EmailAddress>tamir@solomonlaw.co.il</EmailAddress>
        <MotionID>0</MotionID>
        <CasePleaID>0</CasePleaID>
        <LinkedCaseID>0</LinkedCaseID>
        <PartyID>1</PartyID>
        <CasePartyCategoryID>2</CasePartyCategoryID>
        <LegalEntityAddressID>70999073</LegalEntityAddressID>
        <LegalEntityEmailAddressID>67835362</LegalEntityEmailAddressID>
        <PleaTypeID>4</PleaTypeID>
        <LawyerOfficeName>משרד עו"ד-תמיר סולומון</LawyerOfficeName>
        <LawyerOfficeID>2123441</LawyerOfficeID>
        <GroupPartyAlias/>
        <IsConverted>false</IsConverted>
        <LegalEntityNameID>1746405</LegalEntityNameID>
        <RepresentatedNamesOfAssistant/>
        <LegalEntityTypeID>4</LegalEntityTypeID>
        <IsVerdictExists>false</IsVerdictExists>
        <IsAsirAzir>false</IsAsirAzir>
        <MainAndSecSpec/>
        <IsPublicationProhibited>false</IsPublicationProhibited>
        <PublicationProhibitedFullName>תמיר סולומון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277455679</CasePartyID>
        <PartyTypeID>2</PartyTypeID>
        <ActivityStatusID>1</ActivityStatusID>
        <PartyAliasID>21</PartyAliasID>
        <PartyAliasName>בא כוח נתבעים</PartyAliasName>
        <OrdinalNumber>1</OrdinalNumber>
        <LegalEntityID>401563</LegalEntityID>
        <CaseLegalEntityID>132259044</CaseLegalEntityID>
        <AuthenticationTypeID>4</AuthenticationTypeID>
        <AuthenticationTypeName>מ.ר.</AuthenticationTypeName>
        <LegalEntityNumber>23388</LegalEntityNumber>
        <IsMainPartyType>true</IsMainPartyType>
        <CaseDisplayIdentifier>38545-09-24</CaseDisplayIdentifier>
        <CaseTypeID>1</CaseTypeID>
        <CaseTypeName>תיק אזרחי בסדר דין רגיל (ת"א)</CaseTypeName>
        <CaseName>סטי אנרגיה בע"מ נ' מדינת ישראל</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DecisionName>החלטה</DecisionName>
    <CourtDisplayName>בית המשפט המחוזי בירושלים</CourtDisplayName>
    <IsCaseJudgePanel>false</IsCaseJudgePanel>
    <DecisionSignatureDate>2024-09-25T15:01:51.0645793+03:00</DecisionSignatureDate>
    <OpenCaseDate>2024-09-15T11:11:00+03:00</OpenCaseDate>
    <CaseFeeSum>0.000</CaseFeeSum>
    <DecisionTypeID>1</DecisionTypeID>
    <DecisionSignatureUserName>שושנה ליבוביץ</DecisionSignatureUserName>
    <MotionID>109664290</MotionID>
    <DecisionSignatureDateHebrew>2024-09-25T15:01:51.0645793+03:00</DecisionSignatureDateHebrew>
    <MotionNumber>1</MotionNumber>
    <DecisionWriterID>022297832@GOV.IL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סטי אנרגיה בע"מ נ' מדינת ישראל</CaseName>
    <DecisionNumberInCase>4</DecisionNumberInCase>
  </dt_Decision>
  <dt_DecisionCase>
    <DecisionID>0</DecisionID>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iesSelectionDS>
      <CaseParties>
        <PartyTypeName>צד</PartyTypeName>
        <ProceedingType>בקשות</ProceedingType>
        <PleaName>בקשה של תובע 1 בקשה בהולה למתן סעד זמני</PleaName>
        <PartyBelonging>צד א'</PartyBelonging>
        <RoleName>מבקש 1</RoleName>
        <IsSubProceeding>TRUE</IsSubProceeding>
        <FullName>סטי אנרגיה בע"מ</FullName>
        <LastName>סטי אנרגיה בע"מ</LastName>
        <PartyPropertyName/>
        <AuthenticationTypeAndNumber>חברות 512883414</AuthenticationTypeAndNumber>
        <RepresentatedOrRepresentativesNames>תמיר סולומון</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277614922</CasePartyID>
        <PartyTypeID>1</PartyTypeID>
        <ActivityStatusID>1</ActivityStatusID>
        <PartyAliasID>3</PartyAliasID>
        <PartyAliasName>מבקש</PartyAliasName>
        <OrdinalNumber>1</OrdinalNumber>
        <LegalEntityID>281291</LegalEntityID>
        <CaseLegalEntityID>132259041</CaseLegalEntityID>
        <AuthenticationTypeID>3</AuthenticationTypeID>
        <AuthenticationTypeName>חברות</AuthenticationTypeName>
        <LegalEntityNumber>512883414</LegalEntityNumber>
        <IsMainPartyType>false</IsMainPartyType>
        <CaseDisplayIdentifier>38545-09-24</CaseDisplayIdentifier>
        <CaseTypeID>1</CaseTypeID>
        <CaseTypeName>תיק אזרחי בסדר דין רגיל (ת"א)</CaseTypeName>
        <CaseName>סטי אנרגיה בע"מ נ' מדינת ישראל</CaseName>
        <FullAddress>לייבוביץ 10 ירושלים </FullAddress>
        <MotionID>109664290</MotionID>
        <CasePleaID>0</CasePleaID>
        <LinkedCaseID>0</LinkedCaseID>
        <PartyID>1</PartyID>
        <CasePartyCategoryID>4</CasePartyCategoryID>
        <LegalEntityAddressID>75246870</LegalEntityAddressID>
        <PleaTypeID>60</PleaTypeID>
        <GroupPartyAlias>מבקשים</GroupPartyAlias>
        <IsConverted>false</IsConverted>
        <LegalEntityRegisteredNameID>230422</LegalEntityRegisteredNameID>
        <RepresentatedNamesOfAssistant/>
        <LegalEntityTypeID>3</LegalEntityTypeID>
        <IsVerdictExists>false</IsVerdictExists>
        <IsAsirAzir>false</IsAsirAzir>
        <MainAndSecSpec/>
        <IsPublicationProhibited>false</IsPublicationProhibited>
        <PublicationProhibitedFullName>סטי אנרגיה בע"מ</PublicationProhibitedFullName>
      </CaseParties>
      <CaseParties>
        <PartyTypeName>צד</PartyTypeName>
        <ProceedingType>בקשות</ProceedingType>
        <PleaName>בקשה של תובע 1 בקשה בהולה למתן סעד זמני</PleaName>
        <PartyBelonging>צד ב'</PartyBelonging>
        <RoleName>משיב 1</RoleName>
        <IsSubProceeding>TRUE</IsSubProceeding>
        <FullName>מדינת ישראל</FullName>
        <FirstName/>
        <LastName>מדינת ישראל</LastName>
        <PartyPropertyName/>
        <AuthenticationTypeAndNumber>מדינת ישראל </AuthenticationTypeAndNumber>
        <RepresentatedOrRepresentativesNames>קרן יוסט</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277614923</CasePartyID>
        <PartyTypeID>1</PartyTypeID>
        <ActivityStatusID>1</ActivityStatusID>
        <PartyAliasID>4</PartyAliasID>
        <PartyAliasName>משיב</PartyAliasName>
        <OrdinalNumber>1</OrdinalNumber>
        <LegalEntityID>4</LegalEntityID>
        <CaseLegalEntityID>132259043</CaseLegalEntityID>
        <AuthenticationTypeID>41</AuthenticationTypeID>
        <AuthenticationTypeName>מדינת ישראל </AuthenticationTypeName>
        <LegalEntityNumber/>
        <IsMainPartyType>false</IsMainPartyType>
        <CaseDisplayIdentifier>38545-09-24</CaseDisplayIdentifier>
        <CaseTypeID>1</CaseTypeID>
        <CaseTypeName>תיק אזרחי בסדר דין רגיל (ת"א)</CaseTypeName>
        <CaseName>סטי אנרגיה בע"מ נ' מדינת ישראל</CaseName>
        <FullAddress/>
        <MotionID>109664290</MotionID>
        <CasePleaID>0</CasePleaID>
        <BirthDate>1955-01-01T00:00:00+02:00</BirthDate>
        <FatherName>ויקטור חיים</FatherName>
        <LinkedCaseID>0</LinkedCaseID>
        <PartyID>2</PartyID>
        <CasePartyCategoryID>4</CasePartyCategoryID>
        <PleaTypeID>60</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תמיר סולומון</FullName>
        <FirstName>תמיר</FirstName>
        <LastName>סולומון</LastName>
        <PartyPropertyName/>
        <AuthenticationTypeAndNumber>מ.ר. 46346</AuthenticationTypeAndNumber>
        <RepresentatedOrRepresentativesNames xml:space="preserve"> </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277455677</CasePartyID>
        <PartyTypeID>2</PartyTypeID>
        <ActivityStatusID>1</ActivityStatusID>
        <PartyAliasID>20</PartyAliasID>
        <PartyAliasName>בא כוח תובעים</PartyAliasName>
        <OrdinalNumber>1</OrdinalNumber>
        <LegalEntityID>2123440</LegalEntityID>
        <CaseLegalEntityID>132259042</CaseLegalEntityID>
        <AuthenticationTypeID>4</AuthenticationTypeID>
        <AuthenticationTypeName>מ.ר.</AuthenticationTypeName>
        <LegalEntityNumber>46346</LegalEntityNumber>
        <IsMainPartyType>true</IsMainPartyType>
        <CaseDisplayIdentifier>38545-09-24</CaseDisplayIdentifier>
        <CaseTypeID>1</CaseTypeID>
        <CaseTypeName>תיק אזרחי בסדר דין רגיל (ת"א)</CaseTypeName>
        <CaseName>סטי אנרגיה בע"מ נ' מדינת ישראל</CaseName>
        <FullAddress>יהונתן נתניהו 5 אור יהודה כניסה מערבית</FullAddress>
        <EmailAddress>tamir@solomonlaw.co.il</EmailAddress>
        <MotionID>0</MotionID>
        <CasePleaID>0</CasePleaID>
        <LinkedCaseID>0</LinkedCaseID>
        <PartyID>1</PartyID>
        <CasePartyCategoryID>2</CasePartyCategoryID>
        <LegalEntityAddressID>70999073</LegalEntityAddressID>
        <LegalEntityEmailAddressID>67835362</LegalEntityEmailAddressID>
        <PleaTypeID>4</PleaTypeID>
        <LawyerOfficeName>משרד עו"ד-תמיר סולומון</LawyerOfficeName>
        <LawyerOfficeID>2123441</LawyerOfficeID>
        <GroupPartyAlias/>
        <IsConverted>false</IsConverted>
        <LegalEntityNameID>1746405</LegalEntityNameID>
        <RepresentatedNamesOfAssistant/>
        <LegalEntityTypeID>4</LegalEntityTypeID>
        <IsVerdictExists>false</IsVerdictExists>
        <IsAsirAzir>false</IsAsirAzir>
        <MainAndSecSpec/>
        <IsPublicationProhibited>false</IsPublicationProhibited>
        <PublicationProhibitedFullName>תמיר סולומון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81961236</CaseID>
        <CaseJudicialPersonPresentationDS>
          <CaseJudicalPersonActive>
            <CaseID>81961236</CaseID>
            <JudicialPersonID>1</JudicialPersonID>
            <JudicialPersonTypeID>1</JudicialPersonTypeID>
            <IsChairman>true</IsChairman>
            <TreatmentStartDate>2024-09-25T15:01:53.8927274+03:00</TreatmentStartDate>
            <TreatmentFinishDate>2024-09-25T15:01:53.8927274+03:00</TreatmentFinishDate>
            <DisplayName>שושנה ליבוביץ</DisplayName>
            <JudicialTypeName>שופט</JudicialTypeName>
          </CaseJudicalPersonActive>
        </CaseJudicialPersonPresentationDS>
        <CasePartyID>277455679</CasePartyID>
        <PartyTypeID>2</PartyTypeID>
        <ActivityStatusID>1</ActivityStatusID>
        <PartyAliasID>21</PartyAliasID>
        <PartyAliasName>בא כוח נתבעים</PartyAliasName>
        <OrdinalNumber>1</OrdinalNumber>
        <LegalEntityID>401563</LegalEntityID>
        <CaseLegalEntityID>132259044</CaseLegalEntityID>
        <AuthenticationTypeID>4</AuthenticationTypeID>
        <AuthenticationTypeName>מ.ר.</AuthenticationTypeName>
        <LegalEntityNumber>23388</LegalEntityNumber>
        <IsMainPartyType>true</IsMainPartyType>
        <CaseDisplayIdentifier>38545-09-24</CaseDisplayIdentifier>
        <CaseTypeID>1</CaseTypeID>
        <CaseTypeName>תיק אזרחי בסדר דין רגיל (ת"א)</CaseTypeName>
        <CaseName>סטי אנרגיה בע"מ נ' מדינת ישראל</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SelectionDS>
    <CaseName>סטי אנרגיה בע"מ נ' מדינת ישראל</CaseName>
    <CaseDisplayIdentifier>38545-09-24</CaseDisplayIdentifier>
    <CaseInterestID>38</CaseInterestID>
    <CaseTypeShortName>ת"א</CaseTypeShortName>
  </dt_DecisionCase>
  <dt_DecisionJudgePanel>
    <JudgeID>022297832@GOV.IL</JudgeID>
    <DisplayName>שושנה ליבוביץ</DisplayName>
    <RoleName>שופט</RoleName>
    <UserTitleName>שופטת</UserTitleName>
  </dt_DecisionJudgePanel>
  <dt_LegalEntityDetails>
    <PartyID>1</PartyID>
    <PartyTypeID>1</PartyTypeID>
    <DecisionID>0</DecisionID>
    <StreetName>לייבוביץ 10</StreetName>
    <ZipCode>96921</ZipCode>
    <CityName>ירושלים</CityName>
    <FullName> סטי אנרגיה בע"מ</FullName>
    <IsPublicationProhibited>false</IsPublicationProhibited>
  </dt_LegalEntityDetails>
  <dt_LegalEntityDetails>
    <Fax>03-5757483</Fax>
    <Phone>03-5757480</Phone>
    <AddressDesc>כניסה מערבית</AddressDesc>
    <PartyID>1</PartyID>
    <PartyTypeID>2</PartyTypeID>
    <DecisionID>0</DecisionID>
    <StreetName>יהונתן נתניהו 5</StreetName>
    <ZipCode>66841</ZipCode>
    <CityName>אור יהודה</CityName>
    <FullName>תמיר סולומון</FullName>
    <Email>tamir@solomonlaw.co.il</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CaseJudicalPersonActive>
    <CaseJudicalPerson xml:space="preserve">  </CaseJudicalPerson>
  </dt_CaseJudicalPersonActive>
  <dt_Sitting>
    <PreviousMeetingDate>2024-09-25T13:00:00+03:00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34AD8-A9A3-4D70-BE3E-0E1236837A38}">
  <ds:schemaRefs/>
</ds:datastoreItem>
</file>

<file path=customXml/itemProps2.xml><?xml version="1.0" encoding="utf-8"?>
<ds:datastoreItem xmlns:ds="http://schemas.openxmlformats.org/officeDocument/2006/customXml" ds:itemID="{C1C929E8-CAE9-4661-ABF8-E093ACAB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2206</Words>
  <Characters>11033</Characters>
  <Application>Microsoft Office Word</Application>
  <DocSecurity>0</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אביגדור דורות</cp:lastModifiedBy>
  <cp:revision>3</cp:revision>
  <cp:lastPrinted>2024-09-26T09:11:00Z</cp:lastPrinted>
  <dcterms:created xsi:type="dcterms:W3CDTF">2024-09-26T09:57:00Z</dcterms:created>
  <dcterms:modified xsi:type="dcterms:W3CDTF">2024-09-26T09:57:00Z</dcterms:modified>
</cp:coreProperties>
</file>